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44D59">
      <w:pPr>
        <w:spacing w:line="360" w:lineRule="auto"/>
        <w:jc w:val="center"/>
        <w:rPr>
          <w:rFonts w:eastAsiaTheme="minorEastAsia"/>
          <w:b/>
          <w:color w:val="000000" w:themeColor="text1"/>
          <w:sz w:val="28"/>
          <w:szCs w:val="28"/>
          <w14:textFill>
            <w14:solidFill>
              <w14:schemeClr w14:val="tx1"/>
            </w14:solidFill>
          </w14:textFill>
        </w:rPr>
      </w:pPr>
      <w:r>
        <w:rPr>
          <w:rFonts w:hint="eastAsia" w:eastAsiaTheme="minorEastAsia"/>
          <w:b/>
          <w:color w:val="000000" w:themeColor="text1"/>
          <w:sz w:val="28"/>
          <w:szCs w:val="28"/>
          <w14:textFill>
            <w14:solidFill>
              <w14:schemeClr w14:val="tx1"/>
            </w14:solidFill>
          </w14:textFill>
        </w:rPr>
        <w:t>药物临床试验合同</w:t>
      </w:r>
    </w:p>
    <w:p w14:paraId="038E9953">
      <w:pPr>
        <w:wordWrap w:val="0"/>
        <w:spacing w:line="360" w:lineRule="auto"/>
        <w:jc w:val="center"/>
        <w:rPr>
          <w:rFonts w:eastAsiaTheme="minorEastAsia"/>
          <w:color w:val="000000" w:themeColor="text1"/>
          <w:szCs w:val="21"/>
          <w14:textFill>
            <w14:solidFill>
              <w14:schemeClr w14:val="tx1"/>
            </w14:solidFill>
          </w14:textFill>
        </w:rPr>
      </w:pPr>
      <w:r>
        <w:rPr>
          <w:rFonts w:hint="eastAsia" w:ascii="微软雅黑" w:hAnsi="微软雅黑" w:eastAsia="微软雅黑"/>
          <w:b/>
          <w:color w:val="000000"/>
          <w:sz w:val="20"/>
          <w:szCs w:val="20"/>
          <w:lang w:val="en-US" w:eastAsia="zh-CN"/>
        </w:rPr>
        <w:t xml:space="preserve">                                                               </w:t>
      </w:r>
      <w:r>
        <w:rPr>
          <w:rFonts w:hint="eastAsia" w:ascii="微软雅黑" w:hAnsi="微软雅黑" w:eastAsia="微软雅黑"/>
          <w:b/>
          <w:color w:val="000000"/>
          <w:sz w:val="20"/>
          <w:szCs w:val="20"/>
        </w:rPr>
        <w:t xml:space="preserve">合同编号：      </w:t>
      </w:r>
    </w:p>
    <w:p w14:paraId="0C8FB581">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试验药品：</w:t>
      </w:r>
      <w:r>
        <w:rPr>
          <w:rFonts w:hint="eastAsia" w:eastAsiaTheme="minorEastAsia"/>
          <w:color w:val="000000" w:themeColor="text1"/>
          <w:szCs w:val="21"/>
          <w:u w:val="single"/>
          <w14:textFill>
            <w14:solidFill>
              <w14:schemeClr w14:val="tx1"/>
            </w14:solidFill>
          </w14:textFill>
        </w:rPr>
        <w:t xml:space="preserve">                                                                </w:t>
      </w:r>
      <w:r>
        <w:rPr>
          <w:rFonts w:eastAsiaTheme="minorEastAsia"/>
          <w:color w:val="000000" w:themeColor="text1"/>
          <w:szCs w:val="21"/>
          <w:u w:val="single"/>
          <w14:textFill>
            <w14:solidFill>
              <w14:schemeClr w14:val="tx1"/>
            </w14:solidFill>
          </w14:textFill>
        </w:rPr>
        <w:t xml:space="preserve"> </w:t>
      </w:r>
      <w:r>
        <w:rPr>
          <w:rFonts w:eastAsiaTheme="minorEastAsia"/>
          <w:color w:val="000000" w:themeColor="text1"/>
          <w:szCs w:val="21"/>
          <w14:textFill>
            <w14:solidFill>
              <w14:schemeClr w14:val="tx1"/>
            </w14:solidFill>
          </w14:textFill>
        </w:rPr>
        <w:t xml:space="preserve">                   </w:t>
      </w:r>
    </w:p>
    <w:p w14:paraId="67E7FCCA">
      <w:pPr>
        <w:spacing w:line="360" w:lineRule="auto"/>
        <w:rPr>
          <w:rFonts w:hint="default" w:eastAsiaTheme="minorEastAsia"/>
          <w:color w:val="000000" w:themeColor="text1"/>
          <w:szCs w:val="21"/>
          <w:u w:val="single"/>
          <w:lang w:val="en-US" w:eastAsia="zh-CN"/>
          <w14:textFill>
            <w14:solidFill>
              <w14:schemeClr w14:val="tx1"/>
            </w14:solidFill>
          </w14:textFill>
        </w:rPr>
      </w:pPr>
      <w:r>
        <w:rPr>
          <w:rFonts w:hint="eastAsia" w:eastAsiaTheme="minorEastAsia"/>
          <w:color w:val="000000" w:themeColor="text1"/>
          <w:szCs w:val="21"/>
          <w14:textFill>
            <w14:solidFill>
              <w14:schemeClr w14:val="tx1"/>
            </w14:solidFill>
          </w14:textFill>
        </w:rPr>
        <w:t>项目名称</w:t>
      </w:r>
      <w:bookmarkStart w:id="0" w:name="OLE_LINK15"/>
      <w:bookmarkStart w:id="1" w:name="OLE_LINK16"/>
      <w:r>
        <w:rPr>
          <w:rFonts w:hint="eastAsia" w:eastAsiaTheme="minorEastAsia"/>
          <w:color w:val="000000" w:themeColor="text1"/>
          <w:szCs w:val="21"/>
          <w14:textFill>
            <w14:solidFill>
              <w14:schemeClr w14:val="tx1"/>
            </w14:solidFill>
          </w14:textFill>
        </w:rPr>
        <w:t>：</w:t>
      </w:r>
      <w:bookmarkEnd w:id="0"/>
      <w:bookmarkEnd w:id="1"/>
      <w:r>
        <w:rPr>
          <w:rFonts w:hint="eastAsia" w:eastAsiaTheme="minorEastAsia"/>
          <w:color w:val="000000" w:themeColor="text1"/>
          <w:szCs w:val="21"/>
          <w:u w:val="single"/>
          <w:lang w:val="en-US" w:eastAsia="zh-CN"/>
          <w14:textFill>
            <w14:solidFill>
              <w14:schemeClr w14:val="tx1"/>
            </w14:solidFill>
          </w14:textFill>
        </w:rPr>
        <w:t xml:space="preserve">                                                                 </w:t>
      </w:r>
    </w:p>
    <w:p w14:paraId="2174606F">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试验类别：□国际多中心（代码</w:t>
      </w:r>
      <w:r>
        <w:rPr>
          <w:rFonts w:eastAsiaTheme="minorEastAsia"/>
          <w:color w:val="000000" w:themeColor="text1"/>
          <w:szCs w:val="21"/>
          <w:u w:val="single"/>
          <w14:textFill>
            <w14:solidFill>
              <w14:schemeClr w14:val="tx1"/>
            </w14:solidFill>
          </w14:textFill>
        </w:rPr>
        <w:t xml:space="preserve">         </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w:t>
      </w:r>
      <w:r>
        <w:rPr>
          <w:rFonts w:hint="eastAsia" w:eastAsiaTheme="minorEastAsia"/>
          <w:color w:val="000000" w:themeColor="text1"/>
          <w:szCs w:val="21"/>
          <w:lang w:eastAsia="zh-CN"/>
          <w14:textFill>
            <w14:solidFill>
              <w14:schemeClr w14:val="tx1"/>
            </w14:solidFill>
          </w14:textFill>
        </w:rPr>
        <w:t>□</w:t>
      </w:r>
      <w:r>
        <w:rPr>
          <w:rFonts w:hint="eastAsia" w:eastAsiaTheme="minorEastAsia"/>
          <w:color w:val="000000" w:themeColor="text1"/>
          <w:szCs w:val="21"/>
          <w14:textFill>
            <w14:solidFill>
              <w14:schemeClr w14:val="tx1"/>
            </w14:solidFill>
          </w14:textFill>
        </w:rPr>
        <w:t>国内多中心</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□单中心</w:t>
      </w:r>
    </w:p>
    <w:p w14:paraId="49939B8B">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试验分期：□</w:t>
      </w:r>
      <w:r>
        <w:rPr>
          <w:rFonts w:eastAsiaTheme="minorEastAsia"/>
          <w:color w:val="000000" w:themeColor="text1"/>
          <w:szCs w:val="21"/>
          <w14:textFill>
            <w14:solidFill>
              <w14:schemeClr w14:val="tx1"/>
            </w14:solidFill>
          </w14:textFill>
        </w:rPr>
        <w:t>I</w:t>
      </w:r>
      <w:r>
        <w:rPr>
          <w:rFonts w:hint="eastAsia" w:eastAsiaTheme="minorEastAsia"/>
          <w:color w:val="000000" w:themeColor="text1"/>
          <w:szCs w:val="21"/>
          <w14:textFill>
            <w14:solidFill>
              <w14:schemeClr w14:val="tx1"/>
            </w14:solidFill>
          </w14:textFill>
        </w:rPr>
        <w:t>期</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II</w:t>
      </w:r>
      <w:r>
        <w:rPr>
          <w:rFonts w:hint="eastAsia" w:eastAsiaTheme="minorEastAsia"/>
          <w:color w:val="000000" w:themeColor="text1"/>
          <w:szCs w:val="21"/>
          <w14:textFill>
            <w14:solidFill>
              <w14:schemeClr w14:val="tx1"/>
            </w14:solidFill>
          </w14:textFill>
        </w:rPr>
        <w:t>期</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lang w:eastAsia="zh-CN"/>
          <w14:textFill>
            <w14:solidFill>
              <w14:schemeClr w14:val="tx1"/>
            </w14:solidFill>
          </w14:textFill>
        </w:rPr>
        <w:t>□</w:t>
      </w:r>
      <w:r>
        <w:rPr>
          <w:rFonts w:eastAsiaTheme="minorEastAsia"/>
          <w:color w:val="000000" w:themeColor="text1"/>
          <w:szCs w:val="21"/>
          <w14:textFill>
            <w14:solidFill>
              <w14:schemeClr w14:val="tx1"/>
            </w14:solidFill>
          </w14:textFill>
        </w:rPr>
        <w:t>III</w:t>
      </w:r>
      <w:r>
        <w:rPr>
          <w:rFonts w:hint="eastAsia" w:eastAsiaTheme="minorEastAsia"/>
          <w:color w:val="000000" w:themeColor="text1"/>
          <w:szCs w:val="21"/>
          <w14:textFill>
            <w14:solidFill>
              <w14:schemeClr w14:val="tx1"/>
            </w14:solidFill>
          </w14:textFill>
        </w:rPr>
        <w:t>期</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IV</w:t>
      </w:r>
      <w:r>
        <w:rPr>
          <w:rFonts w:hint="eastAsia" w:eastAsiaTheme="minorEastAsia"/>
          <w:color w:val="000000" w:themeColor="text1"/>
          <w:szCs w:val="21"/>
          <w14:textFill>
            <w14:solidFill>
              <w14:schemeClr w14:val="tx1"/>
            </w14:solidFill>
          </w14:textFill>
        </w:rPr>
        <w:t>期</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□研究者发起临床试验</w:t>
      </w:r>
    </w:p>
    <w:p w14:paraId="1ADC35A3">
      <w:pPr>
        <w:spacing w:line="360" w:lineRule="auto"/>
        <w:rPr>
          <w:rFonts w:eastAsiaTheme="minorEastAsia"/>
          <w:color w:val="000000" w:themeColor="text1"/>
          <w:szCs w:val="21"/>
          <w14:textFill>
            <w14:solidFill>
              <w14:schemeClr w14:val="tx1"/>
            </w14:solidFill>
          </w14:textFill>
        </w:rPr>
      </w:pPr>
    </w:p>
    <w:p w14:paraId="072D4B41">
      <w:pPr>
        <w:spacing w:line="360" w:lineRule="auto"/>
        <w:rPr>
          <w:rFonts w:eastAsiaTheme="minorEastAsia"/>
          <w:color w:val="000000" w:themeColor="text1"/>
          <w:szCs w:val="21"/>
          <w:u w:val="single"/>
          <w14:textFill>
            <w14:solidFill>
              <w14:schemeClr w14:val="tx1"/>
            </w14:solidFill>
          </w14:textFill>
        </w:rPr>
      </w:pPr>
      <w:r>
        <w:rPr>
          <w:rFonts w:hint="eastAsia" w:eastAsiaTheme="minorEastAsia"/>
          <w:color w:val="000000" w:themeColor="text1"/>
          <w:szCs w:val="21"/>
          <w14:textFill>
            <w14:solidFill>
              <w14:schemeClr w14:val="tx1"/>
            </w14:solidFill>
          </w14:textFill>
        </w:rPr>
        <w:t>申办方（以下简称：</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甲方</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w:t>
      </w:r>
      <w:r>
        <w:rPr>
          <w:rFonts w:hint="eastAsia" w:eastAsiaTheme="minorEastAsia"/>
          <w:color w:val="000000" w:themeColor="text1"/>
          <w:szCs w:val="21"/>
          <w:u w:val="single"/>
          <w14:textFill>
            <w14:solidFill>
              <w14:schemeClr w14:val="tx1"/>
            </w14:solidFill>
          </w14:textFill>
        </w:rPr>
        <w:t xml:space="preserve">        </w:t>
      </w:r>
    </w:p>
    <w:p w14:paraId="1950CEF4">
      <w:pPr>
        <w:spacing w:line="360" w:lineRule="auto"/>
        <w:rPr>
          <w:rFonts w:eastAsiaTheme="minorEastAsia"/>
          <w:color w:val="000000" w:themeColor="text1"/>
          <w:kern w:val="0"/>
          <w:szCs w:val="21"/>
          <w:lang w:val="zh-CN"/>
          <w14:textFill>
            <w14:solidFill>
              <w14:schemeClr w14:val="tx1"/>
            </w14:solidFill>
          </w14:textFill>
        </w:rPr>
      </w:pPr>
      <w:r>
        <w:rPr>
          <w:rFonts w:hint="eastAsia" w:eastAsiaTheme="minorEastAsia"/>
          <w:color w:val="000000" w:themeColor="text1"/>
          <w:szCs w:val="21"/>
          <w14:textFill>
            <w14:solidFill>
              <w14:schemeClr w14:val="tx1"/>
            </w14:solidFill>
          </w14:textFill>
        </w:rPr>
        <w:t>通讯地址：</w:t>
      </w:r>
      <w:r>
        <w:rPr>
          <w:rFonts w:hint="eastAsia" w:eastAsiaTheme="minorEastAsia"/>
          <w:color w:val="000000" w:themeColor="text1"/>
          <w:szCs w:val="21"/>
          <w:lang w:val="en-US" w:eastAsia="zh-CN"/>
          <w14:textFill>
            <w14:solidFill>
              <w14:schemeClr w14:val="tx1"/>
            </w14:solidFill>
          </w14:textFill>
        </w:rPr>
        <w:t xml:space="preserve">                                    </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法定代表人：</w:t>
      </w:r>
    </w:p>
    <w:p w14:paraId="35994940">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邮政编码：</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 xml:space="preserve"> </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项目负责人：</w:t>
      </w:r>
    </w:p>
    <w:p w14:paraId="26D14C3F">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联系电话（固定工作电话和手机）：</w:t>
      </w:r>
    </w:p>
    <w:p w14:paraId="37D86A74">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 xml:space="preserve">传真：             </w:t>
      </w:r>
      <w:r>
        <w:rPr>
          <w:rFonts w:eastAsiaTheme="minorEastAsia"/>
          <w:color w:val="000000" w:themeColor="text1"/>
          <w:szCs w:val="21"/>
          <w14:textFill>
            <w14:solidFill>
              <w14:schemeClr w14:val="tx1"/>
            </w14:solidFill>
          </w14:textFill>
        </w:rPr>
        <w:t xml:space="preserve">            E-mail</w:t>
      </w:r>
      <w:r>
        <w:rPr>
          <w:rFonts w:hint="eastAsia" w:eastAsiaTheme="minorEastAsia"/>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 xml:space="preserve"> </w:t>
      </w:r>
    </w:p>
    <w:p w14:paraId="5085E9E5">
      <w:pPr>
        <w:spacing w:line="360" w:lineRule="auto"/>
        <w:rPr>
          <w:rFonts w:eastAsiaTheme="minorEastAsia"/>
          <w:color w:val="000000" w:themeColor="text1"/>
          <w:szCs w:val="21"/>
          <w14:textFill>
            <w14:solidFill>
              <w14:schemeClr w14:val="tx1"/>
            </w14:solidFill>
          </w14:textFill>
        </w:rPr>
      </w:pPr>
    </w:p>
    <w:p w14:paraId="597E670F">
      <w:pPr>
        <w:spacing w:line="360" w:lineRule="auto"/>
        <w:rPr>
          <w:rFonts w:hint="default"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14:textFill>
            <w14:solidFill>
              <w14:schemeClr w14:val="tx1"/>
            </w14:solidFill>
          </w14:textFill>
        </w:rPr>
        <w:t>研究机构（以下简称：</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乙方</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w:t>
      </w:r>
      <w:r>
        <w:rPr>
          <w:rFonts w:hint="eastAsia" w:eastAsiaTheme="minorEastAsia"/>
          <w:color w:val="000000" w:themeColor="text1"/>
          <w:szCs w:val="21"/>
          <w:u w:val="single"/>
          <w14:textFill>
            <w14:solidFill>
              <w14:schemeClr w14:val="tx1"/>
            </w14:solidFill>
          </w14:textFill>
        </w:rPr>
        <w:t xml:space="preserve">        </w:t>
      </w:r>
      <w:r>
        <w:rPr>
          <w:rFonts w:hint="eastAsia" w:eastAsiaTheme="minorEastAsia"/>
          <w:color w:val="000000" w:themeColor="text1"/>
          <w:szCs w:val="21"/>
          <w:u w:val="single"/>
          <w:lang w:val="en-US" w:eastAsia="zh-CN"/>
          <w14:textFill>
            <w14:solidFill>
              <w14:schemeClr w14:val="tx1"/>
            </w14:solidFill>
          </w14:textFill>
        </w:rPr>
        <w:t xml:space="preserve">                     </w:t>
      </w:r>
    </w:p>
    <w:p w14:paraId="31B1A2D2">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 xml:space="preserve">地址：       </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lang w:val="en-US" w:eastAsia="zh-CN"/>
          <w14:textFill>
            <w14:solidFill>
              <w14:schemeClr w14:val="tx1"/>
            </w14:solidFill>
          </w14:textFill>
        </w:rPr>
        <w:t xml:space="preserve">                           </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机构联系人：</w:t>
      </w:r>
    </w:p>
    <w:p w14:paraId="10AF621B">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 xml:space="preserve">邮政编码：     </w:t>
      </w:r>
      <w:r>
        <w:rPr>
          <w:rFonts w:eastAsiaTheme="minorEastAsia"/>
          <w:color w:val="000000" w:themeColor="text1"/>
          <w:sz w:val="20"/>
          <w:szCs w:val="20"/>
          <w:shd w:val="clear" w:color="auto" w:fill="FFFFFF"/>
          <w14:textFill>
            <w14:solidFill>
              <w14:schemeClr w14:val="tx1"/>
            </w14:solidFill>
          </w14:textFill>
        </w:rPr>
        <w:t xml:space="preserve"> </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联系电话：</w:t>
      </w:r>
    </w:p>
    <w:p w14:paraId="080CF521">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 xml:space="preserve">传真： </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 xml:space="preserve"> </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lang w:val="en-US" w:eastAsia="zh-CN"/>
          <w14:textFill>
            <w14:solidFill>
              <w14:schemeClr w14:val="tx1"/>
            </w14:solidFill>
          </w14:textFill>
        </w:rPr>
        <w:t xml:space="preserve">                </w:t>
      </w:r>
      <w:r>
        <w:rPr>
          <w:rFonts w:eastAsiaTheme="minorEastAsia"/>
          <w:color w:val="000000" w:themeColor="text1"/>
          <w:szCs w:val="21"/>
          <w14:textFill>
            <w14:solidFill>
              <w14:schemeClr w14:val="tx1"/>
            </w14:solidFill>
          </w14:textFill>
        </w:rPr>
        <w:t xml:space="preserve"> E-mail</w:t>
      </w:r>
      <w:r>
        <w:rPr>
          <w:rFonts w:hint="eastAsia" w:eastAsiaTheme="minorEastAsia"/>
          <w:color w:val="000000" w:themeColor="text1"/>
          <w:szCs w:val="21"/>
          <w14:textFill>
            <w14:solidFill>
              <w14:schemeClr w14:val="tx1"/>
            </w14:solidFill>
          </w14:textFill>
        </w:rPr>
        <w:t>：</w:t>
      </w:r>
    </w:p>
    <w:p w14:paraId="6B956FBD">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主要研究者：</w:t>
      </w:r>
    </w:p>
    <w:p w14:paraId="2047959D">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 xml:space="preserve">专业组：             </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联系电话：</w:t>
      </w:r>
    </w:p>
    <w:p w14:paraId="241DC079">
      <w:pPr>
        <w:spacing w:line="360" w:lineRule="auto"/>
        <w:rPr>
          <w:rFonts w:hint="default" w:eastAsiaTheme="minorEastAsia"/>
          <w:b/>
          <w:color w:val="000000" w:themeColor="text1"/>
          <w:szCs w:val="21"/>
          <w:lang w:val="en-US" w:eastAsia="zh-CN"/>
          <w14:textFill>
            <w14:solidFill>
              <w14:schemeClr w14:val="tx1"/>
            </w14:solidFill>
          </w14:textFill>
        </w:rPr>
      </w:pPr>
      <w:r>
        <w:rPr>
          <w:rFonts w:eastAsiaTheme="minorEastAsia"/>
          <w:b/>
          <w:color w:val="000000" w:themeColor="text1"/>
          <w:szCs w:val="21"/>
          <w14:textFill>
            <w14:solidFill>
              <w14:schemeClr w14:val="tx1"/>
            </w14:solidFill>
          </w14:textFill>
        </w:rPr>
        <w:br w:type="page"/>
      </w:r>
      <w:r>
        <w:rPr>
          <w:rFonts w:hint="eastAsia" w:eastAsiaTheme="minorEastAsia"/>
          <w:b/>
          <w:color w:val="000000" w:themeColor="text1"/>
          <w:szCs w:val="21"/>
          <w14:textFill>
            <w14:solidFill>
              <w14:schemeClr w14:val="tx1"/>
            </w14:solidFill>
          </w14:textFill>
        </w:rPr>
        <w:t>申办方（以下简称：</w:t>
      </w:r>
      <w:r>
        <w:rPr>
          <w:rFonts w:eastAsiaTheme="minorEastAsia"/>
          <w:b/>
          <w:color w:val="000000" w:themeColor="text1"/>
          <w:szCs w:val="21"/>
          <w14:textFill>
            <w14:solidFill>
              <w14:schemeClr w14:val="tx1"/>
            </w14:solidFill>
          </w14:textFill>
        </w:rPr>
        <w:t>“</w:t>
      </w:r>
      <w:r>
        <w:rPr>
          <w:rFonts w:hint="eastAsia" w:eastAsiaTheme="minorEastAsia"/>
          <w:b/>
          <w:color w:val="000000" w:themeColor="text1"/>
          <w:szCs w:val="21"/>
          <w14:textFill>
            <w14:solidFill>
              <w14:schemeClr w14:val="tx1"/>
            </w14:solidFill>
          </w14:textFill>
        </w:rPr>
        <w:t>甲方</w:t>
      </w:r>
      <w:r>
        <w:rPr>
          <w:rFonts w:eastAsiaTheme="minorEastAsia"/>
          <w:b/>
          <w:color w:val="000000" w:themeColor="text1"/>
          <w:szCs w:val="21"/>
          <w14:textFill>
            <w14:solidFill>
              <w14:schemeClr w14:val="tx1"/>
            </w14:solidFill>
          </w14:textFill>
        </w:rPr>
        <w:t>”</w:t>
      </w:r>
      <w:r>
        <w:rPr>
          <w:rFonts w:hint="eastAsia" w:eastAsiaTheme="minorEastAsia"/>
          <w:b/>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 xml:space="preserve"> </w:t>
      </w:r>
      <w:r>
        <w:rPr>
          <w:rFonts w:hint="eastAsia" w:eastAsiaTheme="minorEastAsia"/>
          <w:b/>
          <w:color w:val="000000" w:themeColor="text1"/>
          <w:szCs w:val="21"/>
          <w:u w:val="single"/>
          <w14:textFill>
            <w14:solidFill>
              <w14:schemeClr w14:val="tx1"/>
            </w14:solidFill>
          </w14:textFill>
        </w:rPr>
        <w:t xml:space="preserve">  </w:t>
      </w:r>
      <w:r>
        <w:rPr>
          <w:rFonts w:hint="eastAsia" w:eastAsiaTheme="minorEastAsia"/>
          <w:b/>
          <w:color w:val="000000" w:themeColor="text1"/>
          <w:szCs w:val="21"/>
          <w:u w:val="single"/>
          <w:lang w:val="en-US" w:eastAsia="zh-CN"/>
          <w14:textFill>
            <w14:solidFill>
              <w14:schemeClr w14:val="tx1"/>
            </w14:solidFill>
          </w14:textFill>
        </w:rPr>
        <w:t xml:space="preserve">                                              </w:t>
      </w:r>
    </w:p>
    <w:p w14:paraId="1DC0E1EF">
      <w:pPr>
        <w:spacing w:line="360" w:lineRule="auto"/>
        <w:contextualSpacing/>
        <w:rPr>
          <w:rFonts w:hint="default" w:eastAsiaTheme="minorEastAsia"/>
          <w:b/>
          <w:color w:val="000000" w:themeColor="text1"/>
          <w:szCs w:val="21"/>
          <w:u w:val="single"/>
          <w:lang w:val="en-US" w:eastAsia="zh-CN"/>
          <w14:textFill>
            <w14:solidFill>
              <w14:schemeClr w14:val="tx1"/>
            </w14:solidFill>
          </w14:textFill>
        </w:rPr>
      </w:pPr>
      <w:r>
        <w:rPr>
          <w:rFonts w:hint="eastAsia" w:eastAsiaTheme="minorEastAsia"/>
          <w:b/>
          <w:color w:val="000000" w:themeColor="text1"/>
          <w:szCs w:val="21"/>
          <w14:textFill>
            <w14:solidFill>
              <w14:schemeClr w14:val="tx1"/>
            </w14:solidFill>
          </w14:textFill>
        </w:rPr>
        <w:t>研究机构（以下简称：</w:t>
      </w:r>
      <w:r>
        <w:rPr>
          <w:rFonts w:eastAsiaTheme="minorEastAsia"/>
          <w:b/>
          <w:color w:val="000000" w:themeColor="text1"/>
          <w:szCs w:val="21"/>
          <w14:textFill>
            <w14:solidFill>
              <w14:schemeClr w14:val="tx1"/>
            </w14:solidFill>
          </w14:textFill>
        </w:rPr>
        <w:t>“</w:t>
      </w:r>
      <w:r>
        <w:rPr>
          <w:rFonts w:hint="eastAsia" w:eastAsiaTheme="minorEastAsia"/>
          <w:b/>
          <w:color w:val="000000" w:themeColor="text1"/>
          <w:szCs w:val="21"/>
          <w14:textFill>
            <w14:solidFill>
              <w14:schemeClr w14:val="tx1"/>
            </w14:solidFill>
          </w14:textFill>
        </w:rPr>
        <w:t>乙方</w:t>
      </w:r>
      <w:r>
        <w:rPr>
          <w:rFonts w:eastAsiaTheme="minorEastAsia"/>
          <w:b/>
          <w:color w:val="000000" w:themeColor="text1"/>
          <w:szCs w:val="21"/>
          <w14:textFill>
            <w14:solidFill>
              <w14:schemeClr w14:val="tx1"/>
            </w14:solidFill>
          </w14:textFill>
        </w:rPr>
        <w:t>”</w:t>
      </w:r>
      <w:r>
        <w:rPr>
          <w:rFonts w:hint="eastAsia" w:eastAsiaTheme="minorEastAsia"/>
          <w:b/>
          <w:color w:val="000000" w:themeColor="text1"/>
          <w:szCs w:val="21"/>
          <w14:textFill>
            <w14:solidFill>
              <w14:schemeClr w14:val="tx1"/>
            </w14:solidFill>
          </w14:textFill>
        </w:rPr>
        <w:t>）：</w:t>
      </w:r>
      <w:r>
        <w:rPr>
          <w:rFonts w:hint="eastAsia" w:eastAsiaTheme="minorEastAsia"/>
          <w:b/>
          <w:color w:val="000000" w:themeColor="text1"/>
          <w:szCs w:val="21"/>
          <w:u w:val="single"/>
          <w14:textFill>
            <w14:solidFill>
              <w14:schemeClr w14:val="tx1"/>
            </w14:solidFill>
          </w14:textFill>
        </w:rPr>
        <w:t xml:space="preserve">                </w:t>
      </w:r>
      <w:r>
        <w:rPr>
          <w:rFonts w:hint="eastAsia" w:eastAsiaTheme="minorEastAsia"/>
          <w:b/>
          <w:color w:val="000000" w:themeColor="text1"/>
          <w:szCs w:val="21"/>
          <w:u w:val="single"/>
          <w:lang w:val="en-US" w:eastAsia="zh-CN"/>
          <w14:textFill>
            <w14:solidFill>
              <w14:schemeClr w14:val="tx1"/>
            </w14:solidFill>
          </w14:textFill>
        </w:rPr>
        <w:t xml:space="preserve">                               </w:t>
      </w:r>
    </w:p>
    <w:p w14:paraId="4127D9D7">
      <w:pPr>
        <w:spacing w:line="360" w:lineRule="auto"/>
        <w:ind w:firstLine="435"/>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甲方将依据名为</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lang w:val="en-US" w:eastAsia="zh-CN"/>
          <w14:textFill>
            <w14:solidFill>
              <w14:schemeClr w14:val="tx1"/>
            </w14:solidFill>
          </w14:textFill>
        </w:rPr>
        <w:t xml:space="preserve"> xx</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的方案【</w:t>
      </w:r>
      <w:r>
        <w:rPr>
          <w:rFonts w:hint="eastAsia" w:eastAsiaTheme="minorEastAsia"/>
          <w:b/>
          <w:color w:val="000000" w:themeColor="text1"/>
          <w:szCs w:val="21"/>
          <w14:textFill>
            <w14:solidFill>
              <w14:schemeClr w14:val="tx1"/>
            </w14:solidFill>
          </w14:textFill>
        </w:rPr>
        <w:t>方案编号：</w:t>
      </w:r>
      <w:r>
        <w:rPr>
          <w:rFonts w:hint="eastAsia" w:eastAsiaTheme="minorEastAsia"/>
          <w:b/>
          <w:color w:val="000000" w:themeColor="text1"/>
          <w:szCs w:val="21"/>
          <w:u w:val="single"/>
          <w:lang w:val="en-US" w:eastAsia="zh-CN"/>
          <w14:textFill>
            <w14:solidFill>
              <w14:schemeClr w14:val="tx1"/>
            </w14:solidFill>
          </w14:textFill>
        </w:rPr>
        <w:t xml:space="preserve">       </w:t>
      </w:r>
      <w:r>
        <w:rPr>
          <w:rFonts w:hint="eastAsia" w:eastAsiaTheme="minorEastAsia"/>
          <w:b/>
          <w:color w:val="000000" w:themeColor="text1"/>
          <w:szCs w:val="21"/>
          <w:u w:val="single"/>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】（以下简称</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研究方案</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开展一项临床试验（以下简称“试验”或“临床试验”），从而对甲方试验药品进行临床试验，并且乙方在阅读了研究方案、临床研究者手册以及与试验用药品有关的足够信息以评价其参与该研究的兴趣后，乙方及乙方编制内的研究者（以下简称</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研究者</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同意参与研究，并保证有足够的权限、能力和经验进行临床试验，并拥有必备的基础设施和技术手段保证试验的顺利进行。依据《中华人民共和国民法典》、《药物临床试验质量管理规范》以及该研究方案的规定，合同双方在平等互利、充分表达各自意愿的基础上，就以下各条所涉及的相关技术和法律问题，经协商一致达成如下合同，由签约双方共同恪守。</w:t>
      </w:r>
    </w:p>
    <w:p w14:paraId="2E3F3CF4">
      <w:pPr>
        <w:spacing w:line="360" w:lineRule="auto"/>
        <w:contextualSpacing/>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一、双方合作的主体、合作方式、目的和内容：</w:t>
      </w:r>
    </w:p>
    <w:p w14:paraId="37C35082">
      <w:pPr>
        <w:spacing w:line="360" w:lineRule="auto"/>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r>
        <w:rPr>
          <w:rFonts w:hint="eastAsia" w:eastAsiaTheme="minorEastAsia"/>
          <w:color w:val="000000" w:themeColor="text1"/>
          <w:szCs w:val="21"/>
          <w14:textFill>
            <w14:solidFill>
              <w14:schemeClr w14:val="tx1"/>
            </w14:solidFill>
          </w14:textFill>
        </w:rPr>
        <w:t>、合同主体</w:t>
      </w:r>
    </w:p>
    <w:p w14:paraId="63D8F57C">
      <w:pPr>
        <w:spacing w:line="360" w:lineRule="auto"/>
        <w:ind w:firstLine="422"/>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本合同的主体是</w:t>
      </w:r>
    </w:p>
    <w:p w14:paraId="73ECD26B">
      <w:pPr>
        <w:spacing w:line="360" w:lineRule="auto"/>
        <w:ind w:firstLine="420" w:firstLineChars="200"/>
        <w:contextualSpacing/>
        <w:jc w:val="left"/>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甲方：</w:t>
      </w:r>
      <w:r>
        <w:rPr>
          <w:rFonts w:hint="eastAsia" w:eastAsiaTheme="minorEastAsia"/>
          <w:color w:val="000000" w:themeColor="text1"/>
          <w:szCs w:val="21"/>
          <w:u w:val="single"/>
          <w14:textFill>
            <w14:solidFill>
              <w14:schemeClr w14:val="tx1"/>
            </w14:solidFill>
          </w14:textFill>
        </w:rPr>
        <w:t xml:space="preserve">  </w:t>
      </w:r>
      <w:r>
        <w:rPr>
          <w:rFonts w:hint="eastAsia" w:eastAsiaTheme="minorEastAsia"/>
          <w:color w:val="000000" w:themeColor="text1"/>
          <w:szCs w:val="21"/>
          <w:u w:val="single"/>
          <w:lang w:val="en-US" w:eastAsia="zh-CN"/>
          <w14:textFill>
            <w14:solidFill>
              <w14:schemeClr w14:val="tx1"/>
            </w14:solidFill>
          </w14:textFill>
        </w:rPr>
        <w:t xml:space="preserve">                                 </w:t>
      </w:r>
      <w:r>
        <w:rPr>
          <w:rFonts w:hint="eastAsia" w:eastAsiaTheme="minorEastAsia"/>
          <w:color w:val="000000" w:themeColor="text1"/>
          <w:szCs w:val="21"/>
          <w:u w:val="single"/>
          <w14:textFill>
            <w14:solidFill>
              <w14:schemeClr w14:val="tx1"/>
            </w14:solidFill>
          </w14:textFill>
        </w:rPr>
        <w:t xml:space="preserve">     </w:t>
      </w:r>
    </w:p>
    <w:p w14:paraId="2605A783">
      <w:pPr>
        <w:spacing w:line="360" w:lineRule="auto"/>
        <w:ind w:firstLine="420" w:firstLineChars="200"/>
        <w:contextualSpacing/>
        <w:jc w:val="left"/>
        <w:rPr>
          <w:rFonts w:hint="default"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14:textFill>
            <w14:solidFill>
              <w14:schemeClr w14:val="tx1"/>
            </w14:solidFill>
          </w14:textFill>
        </w:rPr>
        <w:t>乙方：</w:t>
      </w:r>
      <w:r>
        <w:rPr>
          <w:rFonts w:hint="eastAsia" w:eastAsiaTheme="minorEastAsia"/>
          <w:color w:val="000000" w:themeColor="text1"/>
          <w:szCs w:val="21"/>
          <w:u w:val="single"/>
          <w14:textFill>
            <w14:solidFill>
              <w14:schemeClr w14:val="tx1"/>
            </w14:solidFill>
          </w14:textFill>
        </w:rPr>
        <w:t xml:space="preserve"> </w:t>
      </w:r>
      <w:r>
        <w:rPr>
          <w:rFonts w:hint="eastAsia" w:eastAsiaTheme="minorEastAsia"/>
          <w:color w:val="000000" w:themeColor="text1"/>
          <w:szCs w:val="21"/>
          <w:u w:val="single"/>
          <w:lang w:val="en-US" w:eastAsia="zh-CN"/>
          <w14:textFill>
            <w14:solidFill>
              <w14:schemeClr w14:val="tx1"/>
            </w14:solidFill>
          </w14:textFill>
        </w:rPr>
        <w:t xml:space="preserve"> </w:t>
      </w:r>
      <w:r>
        <w:rPr>
          <w:rFonts w:hint="eastAsia" w:eastAsiaTheme="minorEastAsia"/>
          <w:color w:val="000000" w:themeColor="text1"/>
          <w:szCs w:val="21"/>
          <w:u w:val="single"/>
          <w14:textFill>
            <w14:solidFill>
              <w14:schemeClr w14:val="tx1"/>
            </w14:solidFill>
          </w14:textFill>
        </w:rPr>
        <w:t xml:space="preserve">                  </w:t>
      </w:r>
      <w:r>
        <w:rPr>
          <w:rFonts w:hint="eastAsia" w:eastAsiaTheme="minorEastAsia"/>
          <w:color w:val="000000" w:themeColor="text1"/>
          <w:szCs w:val="21"/>
          <w:u w:val="single"/>
          <w:lang w:val="en-US" w:eastAsia="zh-CN"/>
          <w14:textFill>
            <w14:solidFill>
              <w14:schemeClr w14:val="tx1"/>
            </w14:solidFill>
          </w14:textFill>
        </w:rPr>
        <w:t xml:space="preserve">                    </w:t>
      </w:r>
    </w:p>
    <w:p w14:paraId="239B49BB">
      <w:pPr>
        <w:numPr>
          <w:ilvl w:val="0"/>
          <w:numId w:val="2"/>
        </w:numPr>
        <w:spacing w:line="360" w:lineRule="auto"/>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甲方委托乙方对甲方研制的</w:t>
      </w:r>
      <w:r>
        <w:rPr>
          <w:rFonts w:hint="eastAsia" w:eastAsiaTheme="minorEastAsia"/>
          <w:color w:val="000000" w:themeColor="text1"/>
          <w:szCs w:val="21"/>
          <w:u w:val="single"/>
          <w14:textFill>
            <w14:solidFill>
              <w14:schemeClr w14:val="tx1"/>
            </w14:solidFill>
          </w14:textFill>
        </w:rPr>
        <w:t xml:space="preserve"> </w:t>
      </w:r>
      <w:r>
        <w:rPr>
          <w:rFonts w:hint="eastAsia" w:eastAsiaTheme="minorEastAsia"/>
          <w:color w:val="000000" w:themeColor="text1"/>
          <w:szCs w:val="21"/>
          <w:u w:val="single"/>
          <w:lang w:val="en-US" w:eastAsia="zh-CN"/>
          <w14:textFill>
            <w14:solidFill>
              <w14:schemeClr w14:val="tx1"/>
            </w14:solidFill>
          </w14:textFill>
        </w:rPr>
        <w:t xml:space="preserve">           </w:t>
      </w:r>
      <w:r>
        <w:rPr>
          <w:rFonts w:hint="eastAsia" w:eastAsiaTheme="minorEastAsia"/>
          <w:color w:val="000000" w:themeColor="text1"/>
          <w:szCs w:val="21"/>
          <w:u w:val="single"/>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进行【</w:t>
      </w:r>
      <w:r>
        <w:rPr>
          <w:rFonts w:hint="eastAsia" w:eastAsiaTheme="minorEastAsia"/>
          <w:color w:val="000000" w:themeColor="text1"/>
          <w:szCs w:val="21"/>
          <w:highlight w:val="red"/>
          <w:lang w:val="en-US" w:eastAsia="zh-CN"/>
          <w14:textFill>
            <w14:solidFill>
              <w14:schemeClr w14:val="tx1"/>
            </w14:solidFill>
          </w14:textFill>
        </w:rPr>
        <w:t>XX</w:t>
      </w:r>
      <w:r>
        <w:rPr>
          <w:rFonts w:hint="eastAsia" w:eastAsiaTheme="minorEastAsia"/>
          <w:color w:val="000000" w:themeColor="text1"/>
          <w:szCs w:val="21"/>
          <w14:textFill>
            <w14:solidFill>
              <w14:schemeClr w14:val="tx1"/>
            </w14:solidFill>
          </w14:textFill>
        </w:rPr>
        <w:t>】期试验，以评价</w:t>
      </w:r>
      <w:r>
        <w:rPr>
          <w:rFonts w:hint="eastAsia" w:eastAsiaTheme="minorEastAsia"/>
          <w:color w:val="000000" w:themeColor="text1"/>
          <w:szCs w:val="21"/>
          <w:u w:val="single"/>
          <w14:textFill>
            <w14:solidFill>
              <w14:schemeClr w14:val="tx1"/>
            </w14:solidFill>
          </w14:textFill>
        </w:rPr>
        <w:t xml:space="preserve"> </w:t>
      </w:r>
      <w:r>
        <w:rPr>
          <w:rFonts w:hint="eastAsia" w:eastAsiaTheme="minorEastAsia"/>
          <w:color w:val="000000" w:themeColor="text1"/>
          <w:szCs w:val="21"/>
          <w:u w:val="single"/>
          <w:lang w:val="en-US" w:eastAsia="zh-CN"/>
          <w14:textFill>
            <w14:solidFill>
              <w14:schemeClr w14:val="tx1"/>
            </w14:solidFill>
          </w14:textFill>
        </w:rPr>
        <w:t xml:space="preserve">                       </w:t>
      </w:r>
    </w:p>
    <w:p w14:paraId="1C2FB910">
      <w:pPr>
        <w:numPr>
          <w:ilvl w:val="0"/>
          <w:numId w:val="0"/>
        </w:numPr>
        <w:spacing w:line="360" w:lineRule="auto"/>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u w:val="single"/>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w:t>
      </w:r>
    </w:p>
    <w:p w14:paraId="58355FE1">
      <w:pPr>
        <w:spacing w:line="360" w:lineRule="auto"/>
        <w:contextualSpacing/>
        <w:rPr>
          <w:rFonts w:hint="default" w:eastAsiaTheme="minorEastAsia"/>
          <w:color w:val="000000" w:themeColor="text1"/>
          <w:szCs w:val="21"/>
          <w:u w:val="single"/>
          <w:lang w:val="en-US" w:eastAsia="zh-CN"/>
          <w14:textFill>
            <w14:solidFill>
              <w14:schemeClr w14:val="tx1"/>
            </w14:solidFill>
          </w14:textFill>
        </w:rPr>
      </w:pPr>
      <w:r>
        <w:rPr>
          <w:rFonts w:eastAsiaTheme="minorEastAsia"/>
          <w:color w:val="000000" w:themeColor="text1"/>
          <w:szCs w:val="21"/>
          <w14:textFill>
            <w14:solidFill>
              <w14:schemeClr w14:val="tx1"/>
            </w14:solidFill>
          </w14:textFill>
        </w:rPr>
        <w:t>3</w:t>
      </w:r>
      <w:r>
        <w:rPr>
          <w:rFonts w:hint="eastAsia" w:eastAsiaTheme="minorEastAsia"/>
          <w:color w:val="000000" w:themeColor="text1"/>
          <w:szCs w:val="21"/>
          <w14:textFill>
            <w14:solidFill>
              <w14:schemeClr w14:val="tx1"/>
            </w14:solidFill>
          </w14:textFill>
        </w:rPr>
        <w:t>、试验名称为：</w:t>
      </w:r>
      <w:r>
        <w:rPr>
          <w:rFonts w:hint="eastAsia" w:eastAsiaTheme="minorEastAsia"/>
          <w:color w:val="000000" w:themeColor="text1"/>
          <w:szCs w:val="21"/>
          <w:u w:val="single"/>
          <w14:textFill>
            <w14:solidFill>
              <w14:schemeClr w14:val="tx1"/>
            </w14:solidFill>
          </w14:textFill>
        </w:rPr>
        <w:t xml:space="preserve">       </w:t>
      </w:r>
      <w:r>
        <w:rPr>
          <w:rFonts w:hint="eastAsia" w:eastAsiaTheme="minorEastAsia"/>
          <w:color w:val="000000" w:themeColor="text1"/>
          <w:szCs w:val="21"/>
          <w:u w:val="single"/>
          <w:lang w:val="en-US" w:eastAsia="zh-CN"/>
          <w14:textFill>
            <w14:solidFill>
              <w14:schemeClr w14:val="tx1"/>
            </w14:solidFill>
          </w14:textFill>
        </w:rPr>
        <w:t xml:space="preserve">                                                               </w:t>
      </w:r>
    </w:p>
    <w:p w14:paraId="708D71A9">
      <w:pPr>
        <w:spacing w:line="360" w:lineRule="auto"/>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r>
        <w:rPr>
          <w:rFonts w:hint="eastAsia" w:eastAsiaTheme="minorEastAsia"/>
          <w:color w:val="000000" w:themeColor="text1"/>
          <w:szCs w:val="21"/>
          <w14:textFill>
            <w14:solidFill>
              <w14:schemeClr w14:val="tx1"/>
            </w14:solidFill>
          </w14:textFill>
        </w:rPr>
        <w:t>、乙方负责项目的专业组为：</w:t>
      </w:r>
      <w:r>
        <w:rPr>
          <w:rFonts w:hint="eastAsia" w:eastAsiaTheme="minorEastAsia"/>
          <w:color w:val="000000" w:themeColor="text1"/>
          <w:szCs w:val="21"/>
          <w:u w:val="single"/>
          <w14:textFill>
            <w14:solidFill>
              <w14:schemeClr w14:val="tx1"/>
            </w14:solidFill>
          </w14:textFill>
        </w:rPr>
        <w:t xml:space="preserve">   </w:t>
      </w:r>
      <w:r>
        <w:rPr>
          <w:rFonts w:hint="eastAsia" w:eastAsiaTheme="minorEastAsia"/>
          <w:color w:val="000000" w:themeColor="text1"/>
          <w:szCs w:val="21"/>
          <w:u w:val="single"/>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，主要研究者为：</w:t>
      </w:r>
      <w:r>
        <w:rPr>
          <w:rFonts w:hint="eastAsia" w:eastAsiaTheme="minorEastAsia"/>
          <w:color w:val="000000" w:themeColor="text1"/>
          <w:szCs w:val="21"/>
          <w:u w:val="single"/>
          <w14:textFill>
            <w14:solidFill>
              <w14:schemeClr w14:val="tx1"/>
            </w14:solidFill>
          </w14:textFill>
        </w:rPr>
        <w:t xml:space="preserve">   </w:t>
      </w:r>
      <w:r>
        <w:rPr>
          <w:rFonts w:hint="eastAsia" w:eastAsiaTheme="minorEastAsia"/>
          <w:color w:val="000000" w:themeColor="text1"/>
          <w:szCs w:val="21"/>
          <w:u w:val="single"/>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w:t>
      </w:r>
    </w:p>
    <w:p w14:paraId="630A8FF0">
      <w:pPr>
        <w:spacing w:line="360" w:lineRule="auto"/>
        <w:contextualSpacing/>
        <w:rPr>
          <w:rFonts w:eastAsiaTheme="minorEastAsia"/>
          <w:b/>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w:t>
      </w:r>
      <w:r>
        <w:rPr>
          <w:rFonts w:hint="eastAsia" w:eastAsiaTheme="minorEastAsia"/>
          <w:color w:val="000000" w:themeColor="text1"/>
          <w:szCs w:val="21"/>
          <w14:textFill>
            <w14:solidFill>
              <w14:schemeClr w14:val="tx1"/>
            </w14:solidFill>
          </w14:textFill>
        </w:rPr>
        <w:t>、该试验总设计例数为</w:t>
      </w:r>
      <w:r>
        <w:rPr>
          <w:rFonts w:hint="eastAsia" w:eastAsiaTheme="minorEastAsia"/>
          <w:color w:val="000000" w:themeColor="text1"/>
          <w:szCs w:val="21"/>
          <w:u w:val="single"/>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例，甲方计划委托乙方完成</w:t>
      </w:r>
      <w:r>
        <w:rPr>
          <w:rFonts w:hint="eastAsia" w:eastAsiaTheme="minorEastAsia"/>
          <w:color w:val="000000" w:themeColor="text1"/>
          <w:szCs w:val="21"/>
          <w:u w:val="single"/>
          <w14:textFill>
            <w14:solidFill>
              <w14:schemeClr w14:val="tx1"/>
            </w14:solidFill>
          </w14:textFill>
        </w:rPr>
        <w:t xml:space="preserve">  </w:t>
      </w:r>
      <w:r>
        <w:rPr>
          <w:rFonts w:hint="eastAsia" w:eastAsiaTheme="minorEastAsia"/>
          <w:color w:val="000000" w:themeColor="text1"/>
          <w:szCs w:val="21"/>
          <w:u w:val="single"/>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例，具体研究内容详见经伦理委员会审核通过的研究方案。</w:t>
      </w:r>
    </w:p>
    <w:p w14:paraId="12538E57">
      <w:pPr>
        <w:spacing w:line="360" w:lineRule="auto"/>
        <w:contextualSpacing/>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二、合同各方的权利及义务：</w:t>
      </w:r>
    </w:p>
    <w:p w14:paraId="3DD1493C">
      <w:pPr>
        <w:spacing w:line="360" w:lineRule="auto"/>
        <w:contextualSpacing/>
        <w:rPr>
          <w:rFonts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（一）甲方的权利及义务：</w:t>
      </w:r>
    </w:p>
    <w:p w14:paraId="3731244D">
      <w:pPr>
        <w:spacing w:line="360" w:lineRule="auto"/>
        <w:ind w:firstLine="424" w:firstLineChars="202"/>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r>
        <w:rPr>
          <w:rFonts w:hint="eastAsia" w:eastAsiaTheme="minorEastAsia"/>
          <w:color w:val="000000" w:themeColor="text1"/>
          <w:szCs w:val="21"/>
          <w14:textFill>
            <w14:solidFill>
              <w14:schemeClr w14:val="tx1"/>
            </w14:solidFill>
          </w14:textFill>
        </w:rPr>
        <w:t>、提供试验相关的文件、药品、设备、耗材及研究经费等，并有权在试验结束后，对其所提供的设备、未使用的耗材等进行回收；对试验用药品进行适当的标签，并符合临床试验的设计需要。</w:t>
      </w:r>
    </w:p>
    <w:p w14:paraId="4A81951D">
      <w:pPr>
        <w:spacing w:line="360" w:lineRule="auto"/>
        <w:ind w:firstLine="424" w:firstLineChars="202"/>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r>
        <w:rPr>
          <w:rFonts w:hint="eastAsia" w:eastAsiaTheme="minorEastAsia"/>
          <w:color w:val="000000" w:themeColor="text1"/>
          <w:szCs w:val="21"/>
          <w14:textFill>
            <w14:solidFill>
              <w14:schemeClr w14:val="tx1"/>
            </w14:solidFill>
          </w14:textFill>
        </w:rPr>
        <w:t>、为临床试验质量保证责任方，应派遣合格的监查员，并不得随意更换监查员（不可抗力、产假、长期病假、离职、晋升除外），必要时可组织独立的稽查，对试验的质量进行监查，确保所有试验资料符合相关要求，监查频率应和入组进度相协调。监查员应制定合理的监查计划，定期到机构进行监查。监查计划以及监查发现的问题以及整改报告应备案在研究者文件夹中。甲方应及时向乙方告知可能影响受试者健康或安全的严重或持续违背方案事件和重要信息。</w:t>
      </w:r>
    </w:p>
    <w:p w14:paraId="78720C0D">
      <w:pPr>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、确认乙方主要研究者及其研究团队的资格。</w:t>
      </w:r>
    </w:p>
    <w:p w14:paraId="34B5B854">
      <w:pPr>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、对于需要寄送至第三方实验室检测的临床样本，负责样本运输并承担相关费用。</w:t>
      </w:r>
    </w:p>
    <w:p w14:paraId="340A7253">
      <w:pPr>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、负责在项目启动前对乙方的研究人员进行该临床试验研究方案和实施细节的培训。</w:t>
      </w:r>
    </w:p>
    <w:p w14:paraId="0482561B">
      <w:pPr>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、应及时向乙方主要研究者告知试验中存在问题，以便乙方采取相关措施改进</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保护受试者。</w:t>
      </w:r>
    </w:p>
    <w:p w14:paraId="7D5AA13C">
      <w:pPr>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、甲方有权决定中止或暂停临床试验，但须提前</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个工作日书面通知乙方、研究者和伦理委员会，并述明理由。乙方同意试验终止后，相关资料归档按照乙方的要求进行。</w:t>
      </w:r>
    </w:p>
    <w:p w14:paraId="55EF4021">
      <w:pPr>
        <w:spacing w:line="360" w:lineRule="auto"/>
        <w:ind w:firstLine="424" w:firstLineChars="202"/>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受试者如按方案规定的试验流程所导致的损伤（尽管这类损伤在正常治疗中也可能出现），受试者会得到相应的治疗，甲方承担与本试验相关的不良事件的治疗费用，并根据具体情况，遵照中国的相关法律法规给予补</w:t>
      </w:r>
      <w:r>
        <w:rPr>
          <w:rFonts w:hint="eastAsia"/>
          <w:color w:val="FF0000"/>
          <w:szCs w:val="21"/>
        </w:rPr>
        <w:t>偿</w:t>
      </w:r>
      <w:r>
        <w:rPr>
          <w:rFonts w:hint="eastAsia"/>
          <w:color w:val="FF0000"/>
          <w:szCs w:val="21"/>
          <w:lang w:val="en-US" w:eastAsia="zh-CN"/>
        </w:rPr>
        <w:t>或赔偿。</w:t>
      </w:r>
    </w:p>
    <w:p w14:paraId="05934872">
      <w:pPr>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r>
        <w:rPr>
          <w:rFonts w:hint="eastAsia"/>
          <w:color w:val="000000" w:themeColor="text1"/>
          <w:szCs w:val="21"/>
          <w14:textFill>
            <w14:solidFill>
              <w14:schemeClr w14:val="tx1"/>
            </w14:solidFill>
          </w14:textFill>
        </w:rPr>
        <w:t>、本试验一旦发生需要及时处理（包括但不限于治疗、赔偿等）的不良事件</w:t>
      </w:r>
      <w:r>
        <w:rPr>
          <w:color w:val="000000" w:themeColor="text1"/>
          <w:szCs w:val="21"/>
          <w14:textFill>
            <w14:solidFill>
              <w14:schemeClr w14:val="tx1"/>
            </w14:solidFill>
          </w14:textFill>
        </w:rPr>
        <w:t>(AE)</w:t>
      </w:r>
      <w:r>
        <w:rPr>
          <w:rFonts w:hint="eastAsia"/>
          <w:color w:val="000000" w:themeColor="text1"/>
          <w:szCs w:val="21"/>
          <w14:textFill>
            <w14:solidFill>
              <w14:schemeClr w14:val="tx1"/>
            </w14:solidFill>
          </w14:textFill>
        </w:rPr>
        <w:t>或严重不良事件</w:t>
      </w:r>
      <w:r>
        <w:rPr>
          <w:color w:val="000000" w:themeColor="text1"/>
          <w:szCs w:val="21"/>
          <w14:textFill>
            <w14:solidFill>
              <w14:schemeClr w14:val="tx1"/>
            </w14:solidFill>
          </w14:textFill>
        </w:rPr>
        <w:t>(SAE)</w:t>
      </w:r>
      <w:r>
        <w:rPr>
          <w:rFonts w:hint="eastAsia"/>
          <w:color w:val="000000" w:themeColor="text1"/>
          <w:szCs w:val="21"/>
          <w14:textFill>
            <w14:solidFill>
              <w14:schemeClr w14:val="tx1"/>
            </w14:solidFill>
          </w14:textFill>
        </w:rPr>
        <w:t>，若需要甲方协调，甲方监查员或者负责人必须尽快到达乙方，协助处理严重不良事件并采取必要的措施，以保证受试者的安全和权益，并及时向药品监督管理部门和卫生行政管理部门报告，同时向涉及同一药物的临床试验的其他研究单位通报不良事件。</w:t>
      </w:r>
    </w:p>
    <w:p w14:paraId="156D9748">
      <w:pPr>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、向伦理委员会和乙方递交最终的临床试验分中心小结或总结报告。</w:t>
      </w:r>
    </w:p>
    <w:p w14:paraId="6E2142A6">
      <w:pPr>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11</w:t>
      </w:r>
      <w:r>
        <w:rPr>
          <w:rFonts w:hint="eastAsia"/>
          <w:color w:val="000000" w:themeColor="text1"/>
          <w:szCs w:val="21"/>
          <w14:textFill>
            <w14:solidFill>
              <w14:schemeClr w14:val="tx1"/>
            </w14:solidFill>
          </w14:textFill>
        </w:rPr>
        <w:t>、未经受试者书面同意，受试者的个人信息</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标本等不能擅自用于商业用途及探索性研究。</w:t>
      </w:r>
    </w:p>
    <w:p w14:paraId="2E3D88E3">
      <w:pPr>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、甲方</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甲方委托的</w:t>
      </w:r>
      <w:r>
        <w:rPr>
          <w:color w:val="000000" w:themeColor="text1"/>
          <w:szCs w:val="21"/>
          <w14:textFill>
            <w14:solidFill>
              <w14:schemeClr w14:val="tx1"/>
            </w14:solidFill>
          </w14:textFill>
        </w:rPr>
        <w:t>CRO</w:t>
      </w:r>
      <w:r>
        <w:rPr>
          <w:rFonts w:hint="eastAsia"/>
          <w:color w:val="000000" w:themeColor="text1"/>
          <w:szCs w:val="21"/>
          <w14:textFill>
            <w14:solidFill>
              <w14:schemeClr w14:val="tx1"/>
            </w14:solidFill>
          </w14:textFill>
        </w:rPr>
        <w:t>（如有）在申报立项时，应提供企业的营业执照证明资质类型，应报送国家科技部人类遗传资源办公室的，需按要求上报获批后开展；企业资质类型如在合同生效期间发生变更的，也应及时到机构进行报备，并按规定上报获批后继续开展。如因违反国家人类遗传资源管理相关法规和要求而造成不良后果，责任全部由甲方</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甲方委托的</w:t>
      </w:r>
      <w:r>
        <w:rPr>
          <w:color w:val="000000" w:themeColor="text1"/>
          <w:szCs w:val="21"/>
          <w14:textFill>
            <w14:solidFill>
              <w14:schemeClr w14:val="tx1"/>
            </w14:solidFill>
          </w14:textFill>
        </w:rPr>
        <w:t>CRO</w:t>
      </w:r>
      <w:r>
        <w:rPr>
          <w:rFonts w:hint="eastAsia"/>
          <w:color w:val="000000" w:themeColor="text1"/>
          <w:szCs w:val="21"/>
          <w14:textFill>
            <w14:solidFill>
              <w14:schemeClr w14:val="tx1"/>
            </w14:solidFill>
          </w14:textFill>
        </w:rPr>
        <w:t>（如有）承担。</w:t>
      </w:r>
    </w:p>
    <w:p w14:paraId="159E13F5">
      <w:pPr>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13</w:t>
      </w:r>
      <w:r>
        <w:rPr>
          <w:rFonts w:hint="eastAsia"/>
          <w:color w:val="000000" w:themeColor="text1"/>
          <w:szCs w:val="21"/>
          <w14:textFill>
            <w14:solidFill>
              <w14:schemeClr w14:val="tx1"/>
            </w14:solidFill>
          </w14:textFill>
        </w:rPr>
        <w:t>、通知乙方及本试验研究者在通知的时间内参加就本试验举行的研究者会议。</w:t>
      </w:r>
    </w:p>
    <w:p w14:paraId="2FF84BD9">
      <w:pPr>
        <w:spacing w:line="360" w:lineRule="auto"/>
        <w:ind w:firstLine="424" w:firstLineChars="202"/>
        <w:contextualSpacing/>
        <w:rPr>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14</w:t>
      </w:r>
      <w:r>
        <w:rPr>
          <w:rFonts w:hint="eastAsia" w:eastAsiaTheme="minorEastAsia"/>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甲方派出的监查员等与试验有关的人员在监查、随访、数据审核等一切活动中不得参与原始数据的篡改、修改、修饰等，如有违反，甲方将承担所有的相关法律责任。</w:t>
      </w:r>
    </w:p>
    <w:p w14:paraId="40DF6EBE">
      <w:pPr>
        <w:pStyle w:val="27"/>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15、甲方派出的监查员以及其他任何与试验相关的甲方人员在监查、随访、数据审核等一切活动中应当保护受试者隐私，若受试者因前述人员过错导致其隐私泄露遭受权益损失的，甲方应当承担赔偿责任。</w:t>
      </w:r>
    </w:p>
    <w:p w14:paraId="24879DC6">
      <w:pPr>
        <w:spacing w:line="360" w:lineRule="auto"/>
        <w:ind w:firstLine="424" w:firstLineChars="202"/>
        <w:contextualSpacing/>
        <w:rPr>
          <w:rFonts w:eastAsiaTheme="minor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16、如果该试验或甲方提供的试验物资存在侵犯知识产权或专利等其他问题，其责任由甲方负责。</w:t>
      </w:r>
    </w:p>
    <w:p w14:paraId="65BF02C7">
      <w:pPr>
        <w:spacing w:line="360" w:lineRule="auto"/>
        <w:ind w:firstLine="424" w:firstLineChars="202"/>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17、甲方指定本合同的项目负责人：【     】，联系电话：【      】，项目负责人变更时，甲方将另行书面通知乙方。</w:t>
      </w:r>
    </w:p>
    <w:p w14:paraId="1BDFF432">
      <w:pPr>
        <w:spacing w:line="360" w:lineRule="auto"/>
        <w:contextualSpacing/>
        <w:rPr>
          <w:rFonts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（二）乙方的权利及义务：</w:t>
      </w:r>
    </w:p>
    <w:p w14:paraId="2503006E">
      <w:pPr>
        <w:spacing w:line="360" w:lineRule="auto"/>
        <w:ind w:firstLine="424" w:firstLineChars="202"/>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r>
        <w:rPr>
          <w:rFonts w:hint="eastAsia" w:eastAsiaTheme="minorEastAsia"/>
          <w:color w:val="000000" w:themeColor="text1"/>
          <w:szCs w:val="21"/>
          <w14:textFill>
            <w14:solidFill>
              <w14:schemeClr w14:val="tx1"/>
            </w14:solidFill>
          </w14:textFill>
        </w:rPr>
        <w:t>、负责对主要研究者及其研究团队进行资格审核，以选择合格的研究者参与本临床试验。</w:t>
      </w:r>
    </w:p>
    <w:p w14:paraId="47F3BA11">
      <w:pPr>
        <w:spacing w:line="360" w:lineRule="auto"/>
        <w:ind w:firstLine="424" w:firstLineChars="202"/>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r>
        <w:rPr>
          <w:rFonts w:hint="eastAsia" w:eastAsiaTheme="minorEastAsia"/>
          <w:color w:val="000000" w:themeColor="text1"/>
          <w:szCs w:val="21"/>
          <w14:textFill>
            <w14:solidFill>
              <w14:schemeClr w14:val="tx1"/>
            </w14:solidFill>
          </w14:textFill>
        </w:rPr>
        <w:t>、负责合同的管理以及甲方提供的经费的管理，协调甲方提出的临床试验相关的要求。</w:t>
      </w:r>
    </w:p>
    <w:p w14:paraId="01F09302">
      <w:pPr>
        <w:spacing w:line="360" w:lineRule="auto"/>
        <w:ind w:firstLine="424" w:firstLineChars="202"/>
        <w:contextualSpacing/>
        <w:rPr>
          <w:rFonts w:hint="default" w:eastAsiaTheme="minorEastAsia"/>
          <w:color w:val="FF0000"/>
          <w:szCs w:val="21"/>
          <w:lang w:val="en-US" w:eastAsia="zh-CN"/>
        </w:rPr>
      </w:pPr>
      <w:r>
        <w:rPr>
          <w:rFonts w:eastAsiaTheme="minorEastAsia"/>
          <w:color w:val="000000" w:themeColor="text1"/>
          <w:szCs w:val="21"/>
          <w14:textFill>
            <w14:solidFill>
              <w14:schemeClr w14:val="tx1"/>
            </w14:solidFill>
          </w14:textFill>
        </w:rPr>
        <w:t>3</w:t>
      </w:r>
      <w:r>
        <w:rPr>
          <w:rFonts w:hint="eastAsia" w:eastAsiaTheme="minorEastAsia"/>
          <w:color w:val="000000" w:themeColor="text1"/>
          <w:szCs w:val="21"/>
          <w14:textFill>
            <w14:solidFill>
              <w14:schemeClr w14:val="tx1"/>
            </w14:solidFill>
          </w14:textFill>
        </w:rPr>
        <w:t>、负责对临床试验的档案资料进行保管，免费保管期限至临床试验结束后</w:t>
      </w:r>
      <w:r>
        <w:rPr>
          <w:rFonts w:eastAsiaTheme="minorEastAsia"/>
          <w:color w:val="000000" w:themeColor="text1"/>
          <w:szCs w:val="21"/>
          <w14:textFill>
            <w14:solidFill>
              <w14:schemeClr w14:val="tx1"/>
            </w14:solidFill>
          </w14:textFill>
        </w:rPr>
        <w:t>5</w:t>
      </w:r>
      <w:r>
        <w:rPr>
          <w:rFonts w:hint="eastAsia" w:eastAsiaTheme="minorEastAsia"/>
          <w:color w:val="000000" w:themeColor="text1"/>
          <w:szCs w:val="21"/>
          <w14:textFill>
            <w14:solidFill>
              <w14:schemeClr w14:val="tx1"/>
            </w14:solidFill>
          </w14:textFill>
        </w:rPr>
        <w:t>年。</w:t>
      </w:r>
    </w:p>
    <w:p w14:paraId="7BE1DEE3">
      <w:pPr>
        <w:spacing w:line="360" w:lineRule="auto"/>
        <w:ind w:firstLine="424" w:firstLineChars="202"/>
        <w:rPr>
          <w:rFonts w:eastAsiaTheme="minorEastAsia"/>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、对临床试验的标本，应当按照研究方案及甲方要求妥善管理，并配合甲方寄至甲方指定的第三方中心实验室。</w:t>
      </w:r>
    </w:p>
    <w:p w14:paraId="2111C759">
      <w:pPr>
        <w:spacing w:line="360" w:lineRule="auto"/>
        <w:ind w:firstLine="424" w:firstLineChars="202"/>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w:t>
      </w:r>
      <w:r>
        <w:rPr>
          <w:rFonts w:hint="eastAsia" w:eastAsiaTheme="minorEastAsia"/>
          <w:color w:val="000000" w:themeColor="text1"/>
          <w:szCs w:val="21"/>
          <w14:textFill>
            <w14:solidFill>
              <w14:schemeClr w14:val="tx1"/>
            </w14:solidFill>
          </w14:textFill>
        </w:rPr>
        <w:t>、研究者必须详细阅读和了解试验方案的内容，并严格按照方案执行。</w:t>
      </w:r>
    </w:p>
    <w:p w14:paraId="107A6278">
      <w:pPr>
        <w:spacing w:line="360" w:lineRule="auto"/>
        <w:ind w:firstLine="424" w:firstLineChars="202"/>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w:t>
      </w:r>
      <w:r>
        <w:rPr>
          <w:rFonts w:hint="eastAsia" w:eastAsiaTheme="minorEastAsia"/>
          <w:color w:val="000000" w:themeColor="text1"/>
          <w:szCs w:val="21"/>
          <w14:textFill>
            <w14:solidFill>
              <w14:schemeClr w14:val="tx1"/>
            </w14:solidFill>
          </w14:textFill>
        </w:rPr>
        <w:t>、研究者保证将数据真实、准确、完整、及时、合法地载入病历和病例报告表，确保临床试验质量符合国家药品监督管理局药物临床试验数据现场核查要求。</w:t>
      </w:r>
    </w:p>
    <w:p w14:paraId="6470B5B1">
      <w:pPr>
        <w:spacing w:line="360" w:lineRule="auto"/>
        <w:ind w:firstLine="424" w:firstLineChars="202"/>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7</w:t>
      </w:r>
      <w:r>
        <w:rPr>
          <w:rFonts w:hint="eastAsia" w:eastAsiaTheme="minorEastAsia"/>
          <w:color w:val="000000" w:themeColor="text1"/>
          <w:szCs w:val="21"/>
          <w14:textFill>
            <w14:solidFill>
              <w14:schemeClr w14:val="tx1"/>
            </w14:solidFill>
          </w14:textFill>
        </w:rPr>
        <w:t>、接受甲方派遣的监查员或稽查员的监查和稽查及药品监督管理部门的稽查和视察，确保临床试验的质量；协助甲方派遣监查员定期访视并在本中心开展监查工作，同时乙方和研究者有权利查阅监查员的监查报告。</w:t>
      </w:r>
    </w:p>
    <w:p w14:paraId="033A265C">
      <w:pPr>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、研究者负责做出与临床试验相关的医疗决定，保证受试者在试验期间出现不良事件和严重不良事件需得到适当的治疗。研究者有义务采取必要的措施以保障受试者的安全，并记录在案。发生</w:t>
      </w:r>
      <w:r>
        <w:rPr>
          <w:color w:val="000000" w:themeColor="text1"/>
          <w:szCs w:val="21"/>
          <w14:textFill>
            <w14:solidFill>
              <w14:schemeClr w14:val="tx1"/>
            </w14:solidFill>
          </w14:textFill>
        </w:rPr>
        <w:t>SAE</w:t>
      </w:r>
      <w:r>
        <w:rPr>
          <w:rFonts w:hint="eastAsia"/>
          <w:color w:val="000000" w:themeColor="text1"/>
          <w:szCs w:val="21"/>
          <w14:textFill>
            <w14:solidFill>
              <w14:schemeClr w14:val="tx1"/>
            </w14:solidFill>
          </w14:textFill>
        </w:rPr>
        <w:t>时尤其是可疑严重非预期的药物不良反应（</w:t>
      </w:r>
      <w:r>
        <w:rPr>
          <w:color w:val="000000" w:themeColor="text1"/>
          <w:szCs w:val="21"/>
          <w14:textFill>
            <w14:solidFill>
              <w14:schemeClr w14:val="tx1"/>
            </w14:solidFill>
          </w14:textFill>
        </w:rPr>
        <w:t>Suspected Unexpected Serious Adverse Reaction, SUSAR</w:t>
      </w:r>
      <w:r>
        <w:rPr>
          <w:rFonts w:hint="eastAsia"/>
          <w:color w:val="000000" w:themeColor="text1"/>
          <w:szCs w:val="21"/>
          <w14:textFill>
            <w14:solidFill>
              <w14:schemeClr w14:val="tx1"/>
            </w14:solidFill>
          </w14:textFill>
        </w:rPr>
        <w:t>），还应按规定程序上报。</w:t>
      </w:r>
    </w:p>
    <w:p w14:paraId="3FE871AE">
      <w:pPr>
        <w:spacing w:line="360" w:lineRule="auto"/>
        <w:ind w:firstLine="424" w:firstLineChars="202"/>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9</w:t>
      </w:r>
      <w:r>
        <w:rPr>
          <w:rFonts w:hint="eastAsia" w:eastAsiaTheme="minorEastAsia"/>
          <w:color w:val="000000" w:themeColor="text1"/>
          <w:szCs w:val="21"/>
          <w14:textFill>
            <w14:solidFill>
              <w14:schemeClr w14:val="tx1"/>
            </w14:solidFill>
          </w14:textFill>
        </w:rPr>
        <w:t>、在收到甲方的数据处理组织对病例报告表的询问表后，应及时提供反馈信息，一般情况下不应超过一周。</w:t>
      </w:r>
    </w:p>
    <w:p w14:paraId="112EE56E">
      <w:pPr>
        <w:spacing w:line="360" w:lineRule="auto"/>
        <w:ind w:firstLine="424" w:firstLineChars="202"/>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10</w:t>
      </w:r>
      <w:r>
        <w:rPr>
          <w:rFonts w:hint="eastAsia" w:eastAsiaTheme="minorEastAsia"/>
          <w:color w:val="000000" w:themeColor="text1"/>
          <w:szCs w:val="21"/>
          <w14:textFill>
            <w14:solidFill>
              <w14:schemeClr w14:val="tx1"/>
            </w14:solidFill>
          </w14:textFill>
        </w:rPr>
        <w:t>、临床研究结束后负责整理临床试验所有相关资料，向甲方提供真实准确符合合同约定要求的病例报告表（</w:t>
      </w:r>
      <w:r>
        <w:rPr>
          <w:rFonts w:eastAsiaTheme="minorEastAsia"/>
          <w:color w:val="000000" w:themeColor="text1"/>
          <w:szCs w:val="21"/>
          <w14:textFill>
            <w14:solidFill>
              <w14:schemeClr w14:val="tx1"/>
            </w14:solidFill>
          </w14:textFill>
        </w:rPr>
        <w:t>CRF</w:t>
      </w:r>
      <w:r>
        <w:rPr>
          <w:rFonts w:hint="eastAsia" w:eastAsiaTheme="minorEastAsia"/>
          <w:color w:val="000000" w:themeColor="text1"/>
          <w:szCs w:val="21"/>
          <w14:textFill>
            <w14:solidFill>
              <w14:schemeClr w14:val="tx1"/>
            </w14:solidFill>
          </w14:textFill>
        </w:rPr>
        <w:t>）、小结报告、总结报告及其他书面资料。协助甲方解答主管部门或数据统计部门对本临床研究提出的各项疑问。</w:t>
      </w:r>
    </w:p>
    <w:p w14:paraId="7CD7BF14">
      <w:pPr>
        <w:spacing w:line="360" w:lineRule="auto"/>
        <w:ind w:firstLine="424" w:firstLineChars="202"/>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11</w:t>
      </w:r>
      <w:r>
        <w:rPr>
          <w:rFonts w:hint="eastAsia" w:eastAsiaTheme="minorEastAsia"/>
          <w:color w:val="000000" w:themeColor="text1"/>
          <w:szCs w:val="21"/>
          <w14:textFill>
            <w14:solidFill>
              <w14:schemeClr w14:val="tx1"/>
            </w14:solidFill>
          </w14:textFill>
        </w:rPr>
        <w:t>、研究者应根据甲方的要求，出席本合同试验药物注册申报相关的沟通交流会议</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审评会议，甲方应承担相关费用。</w:t>
      </w:r>
    </w:p>
    <w:p w14:paraId="593D84B4">
      <w:pPr>
        <w:spacing w:line="360" w:lineRule="auto"/>
        <w:ind w:firstLine="424" w:firstLineChars="202"/>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w:t>
      </w:r>
      <w:r>
        <w:rPr>
          <w:rFonts w:hint="eastAsia" w:eastAsiaTheme="minorEastAsia"/>
          <w:color w:val="000000" w:themeColor="text1"/>
          <w:szCs w:val="21"/>
          <w14:textFill>
            <w14:solidFill>
              <w14:schemeClr w14:val="tx1"/>
            </w14:solidFill>
          </w14:textFill>
        </w:rPr>
        <w:t>、乙方可以针对</w:t>
      </w:r>
      <w:r>
        <w:rPr>
          <w:rFonts w:eastAsiaTheme="minorEastAsia"/>
          <w:color w:val="000000" w:themeColor="text1"/>
          <w:szCs w:val="21"/>
          <w14:textFill>
            <w14:solidFill>
              <w14:schemeClr w14:val="tx1"/>
            </w14:solidFill>
          </w14:textFill>
        </w:rPr>
        <w:t>CRC</w:t>
      </w:r>
      <w:r>
        <w:rPr>
          <w:rFonts w:hint="eastAsia" w:eastAsiaTheme="minorEastAsia"/>
          <w:color w:val="000000" w:themeColor="text1"/>
          <w:szCs w:val="21"/>
          <w14:textFill>
            <w14:solidFill>
              <w14:schemeClr w14:val="tx1"/>
            </w14:solidFill>
          </w14:textFill>
        </w:rPr>
        <w:t>的选择给出具体建议，甲方应参照乙方意见选择合格的CRC。</w:t>
      </w:r>
    </w:p>
    <w:p w14:paraId="1FD3123D">
      <w:pPr>
        <w:spacing w:line="360" w:lineRule="auto"/>
        <w:ind w:firstLine="424" w:firstLineChars="202"/>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13</w:t>
      </w:r>
      <w:r>
        <w:rPr>
          <w:rFonts w:hint="eastAsia" w:eastAsiaTheme="minorEastAsia"/>
          <w:color w:val="000000" w:themeColor="text1"/>
          <w:szCs w:val="21"/>
          <w14:textFill>
            <w14:solidFill>
              <w14:schemeClr w14:val="tx1"/>
            </w14:solidFill>
          </w14:textFill>
        </w:rPr>
        <w:t>、配合甲方向国家科技部人类遗传资源办公室进行采集、保藏、利用和对外提供人类遗传资源的审批。</w:t>
      </w:r>
    </w:p>
    <w:p w14:paraId="0E2AB23C">
      <w:pPr>
        <w:spacing w:line="360" w:lineRule="auto"/>
        <w:ind w:firstLine="424" w:firstLineChars="202"/>
        <w:contextualSpacing/>
        <w:rPr>
          <w:rFonts w:eastAsiaTheme="minorEastAsia"/>
          <w:b/>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14、乙方指定本合同的项目负责人：【</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】，联系电话：【</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】，项目负责人变更时，乙方将另行书面通知甲方。</w:t>
      </w:r>
    </w:p>
    <w:p w14:paraId="5941CB8C">
      <w:pPr>
        <w:spacing w:line="360" w:lineRule="auto"/>
        <w:contextualSpacing/>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三、经费及支付方式、支付时间（本合同涉及金额，均为</w:t>
      </w:r>
      <w:r>
        <w:rPr>
          <w:rFonts w:eastAsiaTheme="minorEastAsia"/>
          <w:b/>
          <w:color w:val="000000" w:themeColor="text1"/>
          <w:szCs w:val="21"/>
          <w14:textFill>
            <w14:solidFill>
              <w14:schemeClr w14:val="tx1"/>
            </w14:solidFill>
          </w14:textFill>
        </w:rPr>
        <w:t>“</w:t>
      </w:r>
      <w:r>
        <w:rPr>
          <w:rFonts w:hint="eastAsia" w:eastAsiaTheme="minorEastAsia"/>
          <w:b/>
          <w:color w:val="000000" w:themeColor="text1"/>
          <w:szCs w:val="21"/>
          <w14:textFill>
            <w14:solidFill>
              <w14:schemeClr w14:val="tx1"/>
            </w14:solidFill>
          </w14:textFill>
        </w:rPr>
        <w:t>人民币</w:t>
      </w:r>
      <w:r>
        <w:rPr>
          <w:rFonts w:eastAsiaTheme="minorEastAsia"/>
          <w:b/>
          <w:color w:val="000000" w:themeColor="text1"/>
          <w:szCs w:val="21"/>
          <w14:textFill>
            <w14:solidFill>
              <w14:schemeClr w14:val="tx1"/>
            </w14:solidFill>
          </w14:textFill>
        </w:rPr>
        <w:t>”</w:t>
      </w:r>
      <w:r>
        <w:rPr>
          <w:rFonts w:hint="eastAsia" w:eastAsiaTheme="minorEastAsia"/>
          <w:b/>
          <w:color w:val="000000" w:themeColor="text1"/>
          <w:szCs w:val="21"/>
          <w14:textFill>
            <w14:solidFill>
              <w14:schemeClr w14:val="tx1"/>
            </w14:solidFill>
          </w14:textFill>
        </w:rPr>
        <w:t>）：</w:t>
      </w:r>
    </w:p>
    <w:p w14:paraId="05E996E9">
      <w:pPr>
        <w:spacing w:line="360" w:lineRule="auto"/>
        <w:ind w:firstLine="422" w:firstLineChars="200"/>
        <w:contextualSpacing/>
        <w:rPr>
          <w:rFonts w:hint="eastAsia"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（一）研究经费（若临床试验期间，因方案修改导致研究经费发生变动，由甲、乙双方重新协商并签订补充协议解决）：</w:t>
      </w:r>
    </w:p>
    <w:p w14:paraId="73937FFF">
      <w:pPr>
        <w:spacing w:line="360" w:lineRule="auto"/>
        <w:ind w:firstLine="422" w:firstLineChars="200"/>
        <w:contextualSpacing/>
        <w:rPr>
          <w:rFonts w:hint="eastAsia" w:eastAsiaTheme="minorEastAsia"/>
          <w:b/>
          <w:color w:val="000000" w:themeColor="text1"/>
          <w:szCs w:val="21"/>
          <w14:textFill>
            <w14:solidFill>
              <w14:schemeClr w14:val="tx1"/>
            </w14:solidFill>
          </w14:textFill>
        </w:rPr>
      </w:pPr>
    </w:p>
    <w:tbl>
      <w:tblPr>
        <w:tblStyle w:val="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1941"/>
        <w:gridCol w:w="1783"/>
        <w:gridCol w:w="1952"/>
        <w:gridCol w:w="1756"/>
      </w:tblGrid>
      <w:tr w14:paraId="1320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vAlign w:val="center"/>
          </w:tcPr>
          <w:p w14:paraId="4C2F09CB">
            <w:pPr>
              <w:spacing w:line="360" w:lineRule="auto"/>
              <w:ind w:firstLine="420" w:firstLineChars="200"/>
              <w:contextualSpacing/>
              <w:jc w:val="left"/>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费用类型</w:t>
            </w:r>
          </w:p>
        </w:tc>
        <w:tc>
          <w:tcPr>
            <w:tcW w:w="1941" w:type="dxa"/>
            <w:vAlign w:val="center"/>
          </w:tcPr>
          <w:p w14:paraId="69608A6A">
            <w:pPr>
              <w:spacing w:line="360" w:lineRule="auto"/>
              <w:ind w:firstLine="420" w:firstLineChars="200"/>
              <w:contextualSpacing/>
              <w:jc w:val="left"/>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单价（元）</w:t>
            </w:r>
          </w:p>
        </w:tc>
        <w:tc>
          <w:tcPr>
            <w:tcW w:w="1783" w:type="dxa"/>
            <w:vAlign w:val="center"/>
          </w:tcPr>
          <w:p w14:paraId="74C63E2D">
            <w:pPr>
              <w:spacing w:line="360" w:lineRule="auto"/>
              <w:ind w:firstLine="420" w:firstLineChars="200"/>
              <w:contextualSpacing/>
              <w:jc w:val="left"/>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次数</w:t>
            </w:r>
          </w:p>
        </w:tc>
        <w:tc>
          <w:tcPr>
            <w:tcW w:w="1952" w:type="dxa"/>
            <w:vAlign w:val="center"/>
          </w:tcPr>
          <w:p w14:paraId="4B062A05">
            <w:pPr>
              <w:spacing w:line="360" w:lineRule="auto"/>
              <w:ind w:firstLine="420" w:firstLineChars="200"/>
              <w:contextualSpacing/>
              <w:jc w:val="left"/>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单例费用（元）</w:t>
            </w:r>
          </w:p>
        </w:tc>
        <w:tc>
          <w:tcPr>
            <w:tcW w:w="1756" w:type="dxa"/>
            <w:vAlign w:val="center"/>
          </w:tcPr>
          <w:p w14:paraId="5852D069">
            <w:pPr>
              <w:spacing w:line="360" w:lineRule="auto"/>
              <w:contextualSpacing/>
              <w:jc w:val="left"/>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3例总费用（元）</w:t>
            </w:r>
          </w:p>
        </w:tc>
      </w:tr>
      <w:tr w14:paraId="44D4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vAlign w:val="center"/>
          </w:tcPr>
          <w:p w14:paraId="1D63FC66">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研究者观察费</w:t>
            </w:r>
          </w:p>
        </w:tc>
        <w:tc>
          <w:tcPr>
            <w:tcW w:w="3724" w:type="dxa"/>
            <w:gridSpan w:val="2"/>
            <w:vAlign w:val="center"/>
          </w:tcPr>
          <w:p w14:paraId="761CE31F">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详见附件1</w:t>
            </w:r>
          </w:p>
        </w:tc>
        <w:tc>
          <w:tcPr>
            <w:tcW w:w="1952" w:type="dxa"/>
            <w:vAlign w:val="center"/>
          </w:tcPr>
          <w:p w14:paraId="65BEA626">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756" w:type="dxa"/>
            <w:vAlign w:val="center"/>
          </w:tcPr>
          <w:p w14:paraId="60F028BC">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r>
      <w:tr w14:paraId="033E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vAlign w:val="center"/>
          </w:tcPr>
          <w:p w14:paraId="5FD80053">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受试者检查费</w:t>
            </w:r>
          </w:p>
        </w:tc>
        <w:tc>
          <w:tcPr>
            <w:tcW w:w="3724" w:type="dxa"/>
            <w:gridSpan w:val="2"/>
            <w:vAlign w:val="center"/>
          </w:tcPr>
          <w:p w14:paraId="08D483E0">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详见附件2</w:t>
            </w:r>
          </w:p>
        </w:tc>
        <w:tc>
          <w:tcPr>
            <w:tcW w:w="1952" w:type="dxa"/>
            <w:vAlign w:val="center"/>
          </w:tcPr>
          <w:p w14:paraId="36E78D19">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756" w:type="dxa"/>
            <w:vAlign w:val="center"/>
          </w:tcPr>
          <w:p w14:paraId="16A89339">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r>
      <w:tr w14:paraId="604E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vAlign w:val="center"/>
          </w:tcPr>
          <w:p w14:paraId="1E4D8C98">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肿瘤评估费</w:t>
            </w:r>
          </w:p>
        </w:tc>
        <w:tc>
          <w:tcPr>
            <w:tcW w:w="1941" w:type="dxa"/>
            <w:vAlign w:val="center"/>
          </w:tcPr>
          <w:p w14:paraId="055C70F2">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783" w:type="dxa"/>
            <w:vAlign w:val="center"/>
          </w:tcPr>
          <w:p w14:paraId="4748217D">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952" w:type="dxa"/>
            <w:vAlign w:val="center"/>
          </w:tcPr>
          <w:p w14:paraId="23E3F5A9">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756" w:type="dxa"/>
            <w:vAlign w:val="center"/>
          </w:tcPr>
          <w:p w14:paraId="3B2B12E3">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r>
      <w:tr w14:paraId="3CB1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vAlign w:val="center"/>
          </w:tcPr>
          <w:p w14:paraId="46803F07">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护士采血费</w:t>
            </w:r>
          </w:p>
        </w:tc>
        <w:tc>
          <w:tcPr>
            <w:tcW w:w="1941" w:type="dxa"/>
            <w:vAlign w:val="center"/>
          </w:tcPr>
          <w:p w14:paraId="00E7EB60">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783" w:type="dxa"/>
            <w:vAlign w:val="center"/>
          </w:tcPr>
          <w:p w14:paraId="530722AF">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952" w:type="dxa"/>
            <w:vAlign w:val="center"/>
          </w:tcPr>
          <w:p w14:paraId="775046D1">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756" w:type="dxa"/>
            <w:vAlign w:val="center"/>
          </w:tcPr>
          <w:p w14:paraId="0959CCA1">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r>
      <w:tr w14:paraId="4AE3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vAlign w:val="center"/>
          </w:tcPr>
          <w:p w14:paraId="48B7C4EE">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药物配置费</w:t>
            </w:r>
          </w:p>
        </w:tc>
        <w:tc>
          <w:tcPr>
            <w:tcW w:w="1941" w:type="dxa"/>
            <w:vAlign w:val="center"/>
          </w:tcPr>
          <w:p w14:paraId="3408DA0B">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783" w:type="dxa"/>
            <w:vAlign w:val="center"/>
          </w:tcPr>
          <w:p w14:paraId="3C3C2DAC">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952" w:type="dxa"/>
            <w:vAlign w:val="center"/>
          </w:tcPr>
          <w:p w14:paraId="5DE341A0">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756" w:type="dxa"/>
            <w:vAlign w:val="center"/>
          </w:tcPr>
          <w:p w14:paraId="49D731CB">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r>
      <w:tr w14:paraId="3DF7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vAlign w:val="center"/>
          </w:tcPr>
          <w:p w14:paraId="7A89D9C3">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受试者采血补偿</w:t>
            </w:r>
          </w:p>
        </w:tc>
        <w:tc>
          <w:tcPr>
            <w:tcW w:w="1941" w:type="dxa"/>
            <w:vAlign w:val="center"/>
          </w:tcPr>
          <w:p w14:paraId="194E342E">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783" w:type="dxa"/>
            <w:vAlign w:val="center"/>
          </w:tcPr>
          <w:p w14:paraId="44DB141E">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952" w:type="dxa"/>
            <w:vAlign w:val="center"/>
          </w:tcPr>
          <w:p w14:paraId="3B443EF6">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756" w:type="dxa"/>
            <w:vAlign w:val="center"/>
          </w:tcPr>
          <w:p w14:paraId="65A9A574">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r>
      <w:tr w14:paraId="493D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vAlign w:val="center"/>
          </w:tcPr>
          <w:p w14:paraId="64C132B9">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受试者交通补偿</w:t>
            </w:r>
          </w:p>
        </w:tc>
        <w:tc>
          <w:tcPr>
            <w:tcW w:w="1941" w:type="dxa"/>
            <w:vAlign w:val="center"/>
          </w:tcPr>
          <w:p w14:paraId="67183EAA">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783" w:type="dxa"/>
            <w:vAlign w:val="center"/>
          </w:tcPr>
          <w:p w14:paraId="6C7137AB">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952" w:type="dxa"/>
            <w:vAlign w:val="center"/>
          </w:tcPr>
          <w:p w14:paraId="429A9A7E">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756" w:type="dxa"/>
            <w:vAlign w:val="center"/>
          </w:tcPr>
          <w:p w14:paraId="334B35C8">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r>
      <w:tr w14:paraId="3B91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vAlign w:val="center"/>
          </w:tcPr>
          <w:p w14:paraId="59346909">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以上合计</w:t>
            </w:r>
          </w:p>
        </w:tc>
        <w:tc>
          <w:tcPr>
            <w:tcW w:w="1941" w:type="dxa"/>
            <w:vAlign w:val="center"/>
          </w:tcPr>
          <w:p w14:paraId="242FE15E">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w:t>
            </w:r>
          </w:p>
        </w:tc>
        <w:tc>
          <w:tcPr>
            <w:tcW w:w="1783" w:type="dxa"/>
            <w:vAlign w:val="center"/>
          </w:tcPr>
          <w:p w14:paraId="5EC38917">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w:t>
            </w:r>
          </w:p>
        </w:tc>
        <w:tc>
          <w:tcPr>
            <w:tcW w:w="1952" w:type="dxa"/>
            <w:vAlign w:val="center"/>
          </w:tcPr>
          <w:p w14:paraId="1B65C079">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c>
          <w:tcPr>
            <w:tcW w:w="1756" w:type="dxa"/>
            <w:vAlign w:val="center"/>
          </w:tcPr>
          <w:p w14:paraId="5B7E3847">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r>
      <w:tr w14:paraId="4C73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2DE90156">
            <w:pPr>
              <w:spacing w:line="360" w:lineRule="auto"/>
              <w:contextualSpacing/>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管理费（所有费用的 30%包含机构管理费、医院管理费、机构发展基金等间接费用）</w:t>
            </w:r>
          </w:p>
        </w:tc>
        <w:tc>
          <w:tcPr>
            <w:tcW w:w="7432" w:type="dxa"/>
            <w:gridSpan w:val="4"/>
            <w:vAlign w:val="center"/>
          </w:tcPr>
          <w:p w14:paraId="678E5CA2">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r>
      <w:tr w14:paraId="09C1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vAlign w:val="center"/>
          </w:tcPr>
          <w:p w14:paraId="6DEFE024">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税费（税率</w:t>
            </w:r>
            <w:r>
              <w:rPr>
                <w:rFonts w:hint="eastAsia" w:eastAsiaTheme="minorEastAsia"/>
                <w:color w:val="000000" w:themeColor="text1"/>
                <w:szCs w:val="21"/>
                <w:lang w:val="en-US" w:eastAsia="zh-CN"/>
                <w14:textFill>
                  <w14:solidFill>
                    <w14:schemeClr w14:val="tx1"/>
                  </w14:solidFill>
                </w14:textFill>
              </w:rPr>
              <w:t>6</w:t>
            </w:r>
            <w:r>
              <w:rPr>
                <w:rFonts w:hint="eastAsia" w:eastAsiaTheme="minorEastAsia"/>
                <w:color w:val="000000" w:themeColor="text1"/>
                <w:szCs w:val="21"/>
                <w14:textFill>
                  <w14:solidFill>
                    <w14:schemeClr w14:val="tx1"/>
                  </w14:solidFill>
                </w14:textFill>
              </w:rPr>
              <w:t>%）</w:t>
            </w:r>
          </w:p>
        </w:tc>
        <w:tc>
          <w:tcPr>
            <w:tcW w:w="7432" w:type="dxa"/>
            <w:gridSpan w:val="4"/>
            <w:vAlign w:val="center"/>
          </w:tcPr>
          <w:p w14:paraId="1A31C22F">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r>
      <w:tr w14:paraId="0FD0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vAlign w:val="center"/>
          </w:tcPr>
          <w:p w14:paraId="27D3B8DA">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合计</w:t>
            </w:r>
          </w:p>
        </w:tc>
        <w:tc>
          <w:tcPr>
            <w:tcW w:w="7432" w:type="dxa"/>
            <w:gridSpan w:val="4"/>
            <w:vAlign w:val="center"/>
          </w:tcPr>
          <w:p w14:paraId="55F8F9F3">
            <w:pPr>
              <w:spacing w:line="360" w:lineRule="auto"/>
              <w:ind w:firstLine="420" w:firstLineChars="200"/>
              <w:contextualSpacing/>
              <w:rPr>
                <w:rFonts w:hint="eastAsia" w:eastAsiaTheme="minorEastAsia"/>
                <w:color w:val="000000" w:themeColor="text1"/>
                <w:szCs w:val="21"/>
                <w14:textFill>
                  <w14:solidFill>
                    <w14:schemeClr w14:val="tx1"/>
                  </w14:solidFill>
                </w14:textFill>
              </w:rPr>
            </w:pPr>
          </w:p>
        </w:tc>
      </w:tr>
    </w:tbl>
    <w:p w14:paraId="44488C2D">
      <w:pPr>
        <w:spacing w:line="360" w:lineRule="auto"/>
        <w:contextualSpacing/>
        <w:rPr>
          <w:rFonts w:eastAsiaTheme="minorEastAsia"/>
          <w:b/>
          <w:color w:val="000000" w:themeColor="text1"/>
          <w:szCs w:val="21"/>
          <w14:textFill>
            <w14:solidFill>
              <w14:schemeClr w14:val="tx1"/>
            </w14:solidFill>
          </w14:textFill>
        </w:rPr>
      </w:pPr>
    </w:p>
    <w:p w14:paraId="53F2EF88">
      <w:pPr>
        <w:spacing w:line="360" w:lineRule="auto"/>
        <w:contextualSpacing/>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（二）付款计划</w:t>
      </w:r>
    </w:p>
    <w:p w14:paraId="140B705C">
      <w:pPr>
        <w:spacing w:line="360" w:lineRule="auto"/>
        <w:ind w:firstLine="422" w:firstLineChars="200"/>
        <w:contextualSpacing/>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1</w:t>
      </w:r>
      <w:r>
        <w:rPr>
          <w:rFonts w:hint="eastAsia" w:eastAsiaTheme="minorEastAsia"/>
          <w:b/>
          <w:color w:val="000000" w:themeColor="text1"/>
          <w:szCs w:val="21"/>
          <w14:textFill>
            <w14:solidFill>
              <w14:schemeClr w14:val="tx1"/>
            </w14:solidFill>
          </w14:textFill>
        </w:rPr>
        <w:t>、第一期付款：</w:t>
      </w:r>
      <w:r>
        <w:rPr>
          <w:rFonts w:hint="eastAsia" w:eastAsiaTheme="minorEastAsia"/>
          <w:color w:val="000000" w:themeColor="text1"/>
          <w:szCs w:val="21"/>
          <w14:textFill>
            <w14:solidFill>
              <w14:schemeClr w14:val="tx1"/>
            </w14:solidFill>
          </w14:textFill>
        </w:rPr>
        <w:t>甲方在合同签订后、项目启动会前【15】个工作日内向乙方支付合同预计总费用</w:t>
      </w:r>
      <w:r>
        <w:rPr>
          <w:rFonts w:hint="eastAsia" w:eastAsiaTheme="minorEastAsia"/>
          <w:b/>
          <w:color w:val="000000" w:themeColor="text1"/>
          <w:szCs w:val="21"/>
          <w:u w:val="single"/>
          <w14:textFill>
            <w14:solidFill>
              <w14:schemeClr w14:val="tx1"/>
            </w14:solidFill>
          </w14:textFill>
        </w:rPr>
        <w:t>【30】</w:t>
      </w:r>
      <w:r>
        <w:rPr>
          <w:rFonts w:eastAsiaTheme="minorEastAsia"/>
          <w:b/>
          <w:color w:val="000000" w:themeColor="text1"/>
          <w:szCs w:val="21"/>
          <w:u w:val="single"/>
          <w14:textFill>
            <w14:solidFill>
              <w14:schemeClr w14:val="tx1"/>
            </w14:solidFill>
          </w14:textFill>
        </w:rPr>
        <w:t>%</w:t>
      </w:r>
      <w:r>
        <w:rPr>
          <w:rFonts w:hint="eastAsia" w:eastAsiaTheme="minorEastAsia"/>
          <w:color w:val="000000" w:themeColor="text1"/>
          <w:szCs w:val="21"/>
          <w14:textFill>
            <w14:solidFill>
              <w14:schemeClr w14:val="tx1"/>
            </w14:solidFill>
          </w14:textFill>
        </w:rPr>
        <w:t>的费用，即</w:t>
      </w:r>
      <w:r>
        <w:rPr>
          <w:rFonts w:hint="eastAsia" w:eastAsiaTheme="minorEastAsia"/>
          <w:b/>
          <w:color w:val="000000" w:themeColor="text1"/>
          <w:szCs w:val="21"/>
          <w:u w:val="single"/>
          <w14:textFill>
            <w14:solidFill>
              <w14:schemeClr w14:val="tx1"/>
            </w14:solidFill>
          </w14:textFill>
        </w:rPr>
        <w:t>【</w:t>
      </w:r>
      <w:r>
        <w:rPr>
          <w:rFonts w:hint="eastAsia" w:eastAsiaTheme="minorEastAsia"/>
          <w:b/>
          <w:color w:val="000000" w:themeColor="text1"/>
          <w:szCs w:val="21"/>
          <w:u w:val="single"/>
          <w:lang w:val="en-US" w:eastAsia="zh-CN"/>
          <w14:textFill>
            <w14:solidFill>
              <w14:schemeClr w14:val="tx1"/>
            </w14:solidFill>
          </w14:textFill>
        </w:rPr>
        <w:t xml:space="preserve">  </w:t>
      </w:r>
      <w:r>
        <w:rPr>
          <w:rFonts w:hint="eastAsia" w:eastAsiaTheme="minorEastAsia"/>
          <w:b/>
          <w:color w:val="000000" w:themeColor="text1"/>
          <w:szCs w:val="21"/>
          <w:u w:val="single"/>
          <w14:textFill>
            <w14:solidFill>
              <w14:schemeClr w14:val="tx1"/>
            </w14:solidFill>
          </w14:textFill>
        </w:rPr>
        <w:t>】元</w:t>
      </w:r>
      <w:r>
        <w:rPr>
          <w:rFonts w:hint="eastAsia" w:eastAsiaTheme="minorEastAsia"/>
          <w:color w:val="000000" w:themeColor="text1"/>
          <w:szCs w:val="21"/>
          <w14:textFill>
            <w14:solidFill>
              <w14:schemeClr w14:val="tx1"/>
            </w14:solidFill>
          </w14:textFill>
        </w:rPr>
        <w:t>（大写：人民币【</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w:t>
      </w:r>
    </w:p>
    <w:p w14:paraId="2A971A3D">
      <w:pPr>
        <w:spacing w:line="360" w:lineRule="auto"/>
        <w:ind w:firstLine="422" w:firstLineChars="200"/>
        <w:contextualSpacing/>
        <w:rPr>
          <w:rFonts w:eastAsiaTheme="minorEastAsia"/>
          <w:color w:val="000000" w:themeColor="text1"/>
          <w:szCs w:val="21"/>
          <w14:textFill>
            <w14:solidFill>
              <w14:schemeClr w14:val="tx1"/>
            </w14:solidFill>
          </w14:textFill>
        </w:rPr>
      </w:pPr>
      <w:bookmarkStart w:id="2" w:name="OLE_LINK5"/>
      <w:r>
        <w:rPr>
          <w:rFonts w:eastAsiaTheme="minorEastAsia"/>
          <w:b/>
          <w:color w:val="000000" w:themeColor="text1"/>
          <w:szCs w:val="21"/>
          <w14:textFill>
            <w14:solidFill>
              <w14:schemeClr w14:val="tx1"/>
            </w14:solidFill>
          </w14:textFill>
        </w:rPr>
        <w:t>2</w:t>
      </w:r>
      <w:r>
        <w:rPr>
          <w:rFonts w:hint="eastAsia" w:eastAsiaTheme="minorEastAsia"/>
          <w:b/>
          <w:color w:val="000000" w:themeColor="text1"/>
          <w:szCs w:val="21"/>
          <w14:textFill>
            <w14:solidFill>
              <w14:schemeClr w14:val="tx1"/>
            </w14:solidFill>
          </w14:textFill>
        </w:rPr>
        <w:t>、第二期付款：</w:t>
      </w:r>
      <w:r>
        <w:rPr>
          <w:rFonts w:hint="eastAsia" w:eastAsiaTheme="minorEastAsia"/>
          <w:color w:val="000000" w:themeColor="text1"/>
          <w:szCs w:val="21"/>
          <w14:textFill>
            <w14:solidFill>
              <w14:schemeClr w14:val="tx1"/>
            </w14:solidFill>
          </w14:textFill>
        </w:rPr>
        <w:t>乙方第一次入组达到【</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】例受试者时，甲方在接到乙方书面通知并确认无误后支付合同预计总费用的</w:t>
      </w:r>
      <w:r>
        <w:rPr>
          <w:rFonts w:hint="eastAsia" w:eastAsiaTheme="minorEastAsia"/>
          <w:b/>
          <w:color w:val="000000" w:themeColor="text1"/>
          <w:szCs w:val="21"/>
          <w:u w:val="single"/>
          <w14:textFill>
            <w14:solidFill>
              <w14:schemeClr w14:val="tx1"/>
            </w14:solidFill>
          </w14:textFill>
        </w:rPr>
        <w:t>【30】</w:t>
      </w:r>
      <w:r>
        <w:rPr>
          <w:rFonts w:eastAsiaTheme="minorEastAsia"/>
          <w:b/>
          <w:color w:val="000000" w:themeColor="text1"/>
          <w:szCs w:val="21"/>
          <w:u w:val="single"/>
          <w14:textFill>
            <w14:solidFill>
              <w14:schemeClr w14:val="tx1"/>
            </w14:solidFill>
          </w14:textFill>
        </w:rPr>
        <w:t>%</w:t>
      </w:r>
      <w:r>
        <w:rPr>
          <w:rFonts w:hint="eastAsia" w:eastAsiaTheme="minorEastAsia"/>
          <w:color w:val="000000" w:themeColor="text1"/>
          <w:szCs w:val="21"/>
          <w14:textFill>
            <w14:solidFill>
              <w14:schemeClr w14:val="tx1"/>
            </w14:solidFill>
          </w14:textFill>
        </w:rPr>
        <w:t>，即</w:t>
      </w:r>
      <w:r>
        <w:rPr>
          <w:rFonts w:hint="eastAsia" w:eastAsiaTheme="minorEastAsia"/>
          <w:b/>
          <w:color w:val="000000" w:themeColor="text1"/>
          <w:szCs w:val="21"/>
          <w:u w:val="single"/>
          <w14:textFill>
            <w14:solidFill>
              <w14:schemeClr w14:val="tx1"/>
            </w14:solidFill>
          </w14:textFill>
        </w:rPr>
        <w:t>【</w:t>
      </w:r>
      <w:r>
        <w:rPr>
          <w:rFonts w:hint="eastAsia" w:eastAsiaTheme="minorEastAsia"/>
          <w:b/>
          <w:color w:val="000000" w:themeColor="text1"/>
          <w:szCs w:val="21"/>
          <w:u w:val="single"/>
          <w:lang w:val="en-US" w:eastAsia="zh-CN"/>
          <w14:textFill>
            <w14:solidFill>
              <w14:schemeClr w14:val="tx1"/>
            </w14:solidFill>
          </w14:textFill>
        </w:rPr>
        <w:t xml:space="preserve">      </w:t>
      </w:r>
      <w:r>
        <w:rPr>
          <w:rFonts w:hint="eastAsia" w:eastAsiaTheme="minorEastAsia"/>
          <w:b/>
          <w:color w:val="000000" w:themeColor="text1"/>
          <w:szCs w:val="21"/>
          <w:u w:val="single"/>
          <w14:textFill>
            <w14:solidFill>
              <w14:schemeClr w14:val="tx1"/>
            </w14:solidFill>
          </w14:textFill>
        </w:rPr>
        <w:t>】元</w:t>
      </w:r>
      <w:r>
        <w:rPr>
          <w:rFonts w:eastAsiaTheme="minorEastAsia"/>
          <w:b/>
          <w:color w:val="000000" w:themeColor="text1"/>
          <w:szCs w:val="21"/>
          <w:u w:val="single"/>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（大写：人民币【</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w:t>
      </w:r>
    </w:p>
    <w:p w14:paraId="466BB128">
      <w:pPr>
        <w:spacing w:line="360" w:lineRule="auto"/>
        <w:ind w:firstLine="422" w:firstLineChars="200"/>
        <w:contextualSpacing/>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3</w:t>
      </w:r>
      <w:r>
        <w:rPr>
          <w:rFonts w:hint="eastAsia" w:eastAsiaTheme="minorEastAsia"/>
          <w:b/>
          <w:color w:val="000000" w:themeColor="text1"/>
          <w:szCs w:val="21"/>
          <w14:textFill>
            <w14:solidFill>
              <w14:schemeClr w14:val="tx1"/>
            </w14:solidFill>
          </w14:textFill>
        </w:rPr>
        <w:t>、第三期付款：</w:t>
      </w:r>
      <w:r>
        <w:rPr>
          <w:rFonts w:hint="eastAsia" w:eastAsiaTheme="minorEastAsia"/>
          <w:color w:val="000000" w:themeColor="text1"/>
          <w:szCs w:val="21"/>
          <w14:textFill>
            <w14:solidFill>
              <w14:schemeClr w14:val="tx1"/>
            </w14:solidFill>
          </w14:textFill>
        </w:rPr>
        <w:t>乙方第一次入组达到【</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】例受试者时，甲方在接到乙方书面通知并确认无误后支付合同预计总费用的</w:t>
      </w:r>
      <w:r>
        <w:rPr>
          <w:rFonts w:hint="eastAsia" w:eastAsiaTheme="minorEastAsia"/>
          <w:b/>
          <w:color w:val="000000" w:themeColor="text1"/>
          <w:szCs w:val="21"/>
          <w:u w:val="single"/>
          <w14:textFill>
            <w14:solidFill>
              <w14:schemeClr w14:val="tx1"/>
            </w14:solidFill>
          </w14:textFill>
        </w:rPr>
        <w:t>【30】</w:t>
      </w:r>
      <w:r>
        <w:rPr>
          <w:rFonts w:eastAsiaTheme="minorEastAsia"/>
          <w:b/>
          <w:color w:val="000000" w:themeColor="text1"/>
          <w:szCs w:val="21"/>
          <w:u w:val="single"/>
          <w14:textFill>
            <w14:solidFill>
              <w14:schemeClr w14:val="tx1"/>
            </w14:solidFill>
          </w14:textFill>
        </w:rPr>
        <w:t>%</w:t>
      </w:r>
      <w:r>
        <w:rPr>
          <w:rFonts w:hint="eastAsia" w:eastAsiaTheme="minorEastAsia"/>
          <w:color w:val="000000" w:themeColor="text1"/>
          <w:szCs w:val="21"/>
          <w14:textFill>
            <w14:solidFill>
              <w14:schemeClr w14:val="tx1"/>
            </w14:solidFill>
          </w14:textFill>
        </w:rPr>
        <w:t>，即</w:t>
      </w:r>
      <w:r>
        <w:rPr>
          <w:rFonts w:hint="eastAsia" w:eastAsiaTheme="minorEastAsia"/>
          <w:b/>
          <w:color w:val="000000" w:themeColor="text1"/>
          <w:szCs w:val="21"/>
          <w:u w:val="single"/>
          <w14:textFill>
            <w14:solidFill>
              <w14:schemeClr w14:val="tx1"/>
            </w14:solidFill>
          </w14:textFill>
        </w:rPr>
        <w:t>【</w:t>
      </w:r>
      <w:r>
        <w:rPr>
          <w:rFonts w:hint="eastAsia" w:eastAsiaTheme="minorEastAsia"/>
          <w:b/>
          <w:color w:val="000000" w:themeColor="text1"/>
          <w:szCs w:val="21"/>
          <w:u w:val="single"/>
          <w:lang w:val="en-US" w:eastAsia="zh-CN"/>
          <w14:textFill>
            <w14:solidFill>
              <w14:schemeClr w14:val="tx1"/>
            </w14:solidFill>
          </w14:textFill>
        </w:rPr>
        <w:t xml:space="preserve">     </w:t>
      </w:r>
      <w:r>
        <w:rPr>
          <w:rFonts w:hint="eastAsia" w:eastAsiaTheme="minorEastAsia"/>
          <w:b/>
          <w:color w:val="000000" w:themeColor="text1"/>
          <w:szCs w:val="21"/>
          <w:u w:val="single"/>
          <w14:textFill>
            <w14:solidFill>
              <w14:schemeClr w14:val="tx1"/>
            </w14:solidFill>
          </w14:textFill>
        </w:rPr>
        <w:t>】元</w:t>
      </w:r>
      <w:r>
        <w:rPr>
          <w:rFonts w:eastAsiaTheme="minorEastAsia"/>
          <w:b/>
          <w:color w:val="000000" w:themeColor="text1"/>
          <w:szCs w:val="21"/>
          <w:u w:val="single"/>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（大写：人民币【</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w:t>
      </w:r>
    </w:p>
    <w:p w14:paraId="3E3C5FD4">
      <w:pPr>
        <w:spacing w:line="360" w:lineRule="auto"/>
        <w:ind w:firstLine="422" w:firstLineChars="200"/>
        <w:contextualSpacing/>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4</w:t>
      </w:r>
      <w:r>
        <w:rPr>
          <w:rFonts w:hint="eastAsia" w:eastAsiaTheme="minorEastAsia"/>
          <w:b/>
          <w:color w:val="000000" w:themeColor="text1"/>
          <w:szCs w:val="21"/>
          <w14:textFill>
            <w14:solidFill>
              <w14:schemeClr w14:val="tx1"/>
            </w14:solidFill>
          </w14:textFill>
        </w:rPr>
        <w:t>、项目尾款：</w:t>
      </w:r>
      <w:r>
        <w:rPr>
          <w:rFonts w:hint="eastAsia" w:eastAsiaTheme="minorEastAsia"/>
          <w:color w:val="000000" w:themeColor="text1"/>
          <w:szCs w:val="21"/>
          <w14:textFill>
            <w14:solidFill>
              <w14:schemeClr w14:val="tx1"/>
            </w14:solidFill>
          </w14:textFill>
        </w:rPr>
        <w:t>甲方在临床完成入组后、小结报告盖章之前，双方按实际发生例数及实际试验情况结合附件进行最终费用结算，最终的结算费用由双方项目负责人签字确认，在签字确认后</w:t>
      </w:r>
      <w:r>
        <w:rPr>
          <w:rFonts w:eastAsiaTheme="minorEastAsia"/>
          <w:color w:val="000000" w:themeColor="text1"/>
          <w:szCs w:val="21"/>
          <w14:textFill>
            <w14:solidFill>
              <w14:schemeClr w14:val="tx1"/>
            </w14:solidFill>
          </w14:textFill>
        </w:rPr>
        <w:t>30</w:t>
      </w:r>
      <w:r>
        <w:rPr>
          <w:rFonts w:hint="eastAsia" w:eastAsiaTheme="minorEastAsia"/>
          <w:color w:val="000000" w:themeColor="text1"/>
          <w:szCs w:val="21"/>
          <w14:textFill>
            <w14:solidFill>
              <w14:schemeClr w14:val="tx1"/>
            </w14:solidFill>
          </w14:textFill>
        </w:rPr>
        <w:t>个工作日内，甲乙双方在甲方已付款基础上进行多退少补。</w:t>
      </w:r>
    </w:p>
    <w:p w14:paraId="461A235A">
      <w:pPr>
        <w:spacing w:line="360" w:lineRule="auto"/>
        <w:ind w:firstLine="422" w:firstLineChars="200"/>
        <w:contextualSpacing/>
        <w:rPr>
          <w:rFonts w:hint="eastAsia" w:eastAsiaTheme="minorEastAsia"/>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5、</w:t>
      </w:r>
      <w:r>
        <w:rPr>
          <w:rFonts w:hint="eastAsia" w:eastAsiaTheme="minorEastAsia"/>
          <w:color w:val="000000" w:themeColor="text1"/>
          <w:szCs w:val="21"/>
          <w14:textFill>
            <w14:solidFill>
              <w14:schemeClr w14:val="tx1"/>
            </w14:solidFill>
          </w14:textFill>
        </w:rPr>
        <w:t>若临床试验完成或提前终止，甲乙双方应在前述事项发生之日起30日内进行费用结算，并在60日内按照多退少补的原则结清所有费用。</w:t>
      </w:r>
    </w:p>
    <w:p w14:paraId="4A3F0298">
      <w:pPr>
        <w:spacing w:line="360" w:lineRule="auto"/>
        <w:ind w:firstLine="420" w:firstLineChars="200"/>
        <w:contextualSpacing/>
        <w:rPr>
          <w:rFonts w:hint="default"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6、</w:t>
      </w:r>
      <w:r>
        <w:rPr>
          <w:rFonts w:hint="eastAsia" w:eastAsiaTheme="minorEastAsia"/>
          <w:color w:val="000000" w:themeColor="text1"/>
          <w:szCs w:val="21"/>
          <w:highlight w:val="yellow"/>
          <w:lang w:val="en-US" w:eastAsia="zh-CN"/>
          <w14:textFill>
            <w14:solidFill>
              <w14:schemeClr w14:val="tx1"/>
            </w14:solidFill>
          </w14:textFill>
        </w:rPr>
        <w:t>若试验未入组，扣除首笔款的30%作为管理费，其余款项可退回申办方。</w:t>
      </w:r>
    </w:p>
    <w:p w14:paraId="7C4246E7">
      <w:pPr>
        <w:spacing w:line="360" w:lineRule="auto"/>
        <w:contextualSpacing/>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（三）付款方式及发票开具</w:t>
      </w:r>
    </w:p>
    <w:p w14:paraId="1F31FE94">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1、</w:t>
      </w:r>
      <w:r>
        <w:rPr>
          <w:rFonts w:hint="eastAsia"/>
          <w:color w:val="000000" w:themeColor="text1"/>
          <w:sz w:val="22"/>
          <w14:textFill>
            <w14:solidFill>
              <w14:schemeClr w14:val="tx1"/>
            </w14:solidFill>
          </w14:textFill>
        </w:rPr>
        <w:t>甲方以电汇方式向乙方付款，付款日以银行出具凭证为准。</w:t>
      </w:r>
      <w:r>
        <w:rPr>
          <w:rFonts w:hint="eastAsia" w:eastAsiaTheme="minorEastAsia"/>
          <w:color w:val="000000" w:themeColor="text1"/>
          <w:szCs w:val="21"/>
          <w14:textFill>
            <w14:solidFill>
              <w14:schemeClr w14:val="tx1"/>
            </w14:solidFill>
          </w14:textFill>
        </w:rPr>
        <w:t>本合同项下所有甲方对乙方的付款，均应付至乙方指定的以下银行账户：</w:t>
      </w:r>
    </w:p>
    <w:p w14:paraId="4921ACEA">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乙方账户名称：</w:t>
      </w:r>
      <w:r>
        <w:rPr>
          <w:rFonts w:hint="eastAsia"/>
          <w:color w:val="000000"/>
          <w:szCs w:val="21"/>
        </w:rPr>
        <w:t>沈阳市第十人民医院</w:t>
      </w:r>
    </w:p>
    <w:p w14:paraId="23D67456">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开户银行：盛京银行沈阳市二○四支行</w:t>
      </w:r>
    </w:p>
    <w:p w14:paraId="03354C21">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账号：</w:t>
      </w:r>
      <w:r>
        <w:rPr>
          <w:color w:val="000000"/>
          <w:szCs w:val="21"/>
        </w:rPr>
        <w:t>0366010140940000202</w:t>
      </w:r>
    </w:p>
    <w:p w14:paraId="004C593C">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r>
        <w:rPr>
          <w:rFonts w:hint="eastAsia" w:eastAsiaTheme="minorEastAsia"/>
          <w:color w:val="000000" w:themeColor="text1"/>
          <w:szCs w:val="21"/>
          <w14:textFill>
            <w14:solidFill>
              <w14:schemeClr w14:val="tx1"/>
            </w14:solidFill>
          </w14:textFill>
        </w:rPr>
        <w:t>、</w:t>
      </w:r>
      <w:r>
        <w:rPr>
          <w:rFonts w:hint="eastAsia"/>
          <w:color w:val="000000" w:themeColor="text1"/>
          <w:sz w:val="22"/>
          <w14:textFill>
            <w14:solidFill>
              <w14:schemeClr w14:val="tx1"/>
            </w14:solidFill>
          </w14:textFill>
        </w:rPr>
        <w:t>乙方在收到每笔费用后的【15】个工作日内，向甲方开具与当次所收金额等额增值税【普通】发票。甲方</w:t>
      </w:r>
      <w:r>
        <w:rPr>
          <w:rFonts w:hint="eastAsia" w:eastAsiaTheme="minorEastAsia"/>
          <w:color w:val="000000" w:themeColor="text1"/>
          <w:szCs w:val="21"/>
          <w14:textFill>
            <w14:solidFill>
              <w14:schemeClr w14:val="tx1"/>
            </w14:solidFill>
          </w14:textFill>
        </w:rPr>
        <w:t>开票信息如下：</w:t>
      </w:r>
    </w:p>
    <w:p w14:paraId="441FE0E5">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单位名称：</w:t>
      </w:r>
    </w:p>
    <w:p w14:paraId="1C76E05F">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纳税人识别号：</w:t>
      </w:r>
    </w:p>
    <w:p w14:paraId="652094C0">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地址、电话：</w:t>
      </w:r>
    </w:p>
    <w:p w14:paraId="094135AD">
      <w:pPr>
        <w:spacing w:line="360" w:lineRule="auto"/>
        <w:ind w:firstLine="420" w:firstLineChars="200"/>
        <w:contextualSpacing/>
        <w:rPr>
          <w:rFonts w:eastAsiaTheme="minorEastAsia"/>
          <w:b/>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开户银行及账号：</w:t>
      </w:r>
      <w:bookmarkEnd w:id="2"/>
    </w:p>
    <w:p w14:paraId="0A1E2DDB">
      <w:pPr>
        <w:spacing w:line="360" w:lineRule="auto"/>
        <w:contextualSpacing/>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四、试验计划开展时间以及试验结果的验收：</w:t>
      </w:r>
    </w:p>
    <w:p w14:paraId="2518D7BC">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1、在合同正式签订，获得乙方临床研究伦理委员会审查批准报告，各种试验相关文件、试验用药品、第一期研究经费、所有临床研究所需物资等到位后，乙方开始进行本合同约定的临床试验。研究计划开展时间为</w:t>
      </w:r>
      <w:r>
        <w:rPr>
          <w:rFonts w:hint="eastAsia" w:eastAsiaTheme="minorEastAsia"/>
          <w:color w:val="000000" w:themeColor="text1"/>
          <w:szCs w:val="21"/>
          <w:lang w:val="en-US" w:eastAsia="zh-CN"/>
          <w14:textFill>
            <w14:solidFill>
              <w14:schemeClr w14:val="tx1"/>
            </w14:solidFill>
          </w14:textFill>
        </w:rPr>
        <w:t>xxx</w:t>
      </w:r>
      <w:r>
        <w:rPr>
          <w:rFonts w:hint="eastAsia" w:eastAsiaTheme="minorEastAsia"/>
          <w:color w:val="000000" w:themeColor="text1"/>
          <w:szCs w:val="21"/>
          <w14:textFill>
            <w14:solidFill>
              <w14:schemeClr w14:val="tx1"/>
            </w14:solidFill>
          </w14:textFill>
        </w:rPr>
        <w:t>年</w:t>
      </w:r>
      <w:r>
        <w:rPr>
          <w:rFonts w:hint="eastAsia" w:eastAsiaTheme="minorEastAsia"/>
          <w:color w:val="000000" w:themeColor="text1"/>
          <w:szCs w:val="21"/>
          <w:lang w:val="en-US" w:eastAsia="zh-CN"/>
          <w14:textFill>
            <w14:solidFill>
              <w14:schemeClr w14:val="tx1"/>
            </w14:solidFill>
          </w14:textFill>
        </w:rPr>
        <w:t>x</w:t>
      </w:r>
      <w:r>
        <w:rPr>
          <w:rFonts w:hint="eastAsia" w:eastAsiaTheme="minorEastAsia"/>
          <w:color w:val="000000" w:themeColor="text1"/>
          <w:szCs w:val="21"/>
          <w14:textFill>
            <w14:solidFill>
              <w14:schemeClr w14:val="tx1"/>
            </w14:solidFill>
          </w14:textFill>
        </w:rPr>
        <w:t>月至</w:t>
      </w:r>
      <w:r>
        <w:rPr>
          <w:rFonts w:hint="eastAsia" w:eastAsiaTheme="minorEastAsia"/>
          <w:color w:val="000000" w:themeColor="text1"/>
          <w:szCs w:val="21"/>
          <w:lang w:val="en-US" w:eastAsia="zh-CN"/>
          <w14:textFill>
            <w14:solidFill>
              <w14:schemeClr w14:val="tx1"/>
            </w14:solidFill>
          </w14:textFill>
        </w:rPr>
        <w:t>xxxx</w:t>
      </w:r>
      <w:r>
        <w:rPr>
          <w:rFonts w:hint="eastAsia" w:eastAsiaTheme="minorEastAsia"/>
          <w:color w:val="000000" w:themeColor="text1"/>
          <w:szCs w:val="21"/>
          <w14:textFill>
            <w14:solidFill>
              <w14:schemeClr w14:val="tx1"/>
            </w14:solidFill>
          </w14:textFill>
        </w:rPr>
        <w:t>年</w:t>
      </w:r>
      <w:r>
        <w:rPr>
          <w:rFonts w:hint="eastAsia" w:eastAsiaTheme="minorEastAsia"/>
          <w:color w:val="000000" w:themeColor="text1"/>
          <w:szCs w:val="21"/>
          <w:lang w:val="en-US" w:eastAsia="zh-CN"/>
          <w14:textFill>
            <w14:solidFill>
              <w14:schemeClr w14:val="tx1"/>
            </w14:solidFill>
          </w14:textFill>
        </w:rPr>
        <w:t>x</w:t>
      </w:r>
      <w:r>
        <w:rPr>
          <w:rFonts w:hint="eastAsia" w:eastAsiaTheme="minorEastAsia"/>
          <w:color w:val="000000" w:themeColor="text1"/>
          <w:szCs w:val="21"/>
          <w14:textFill>
            <w14:solidFill>
              <w14:schemeClr w14:val="tx1"/>
            </w14:solidFill>
          </w14:textFill>
        </w:rPr>
        <w:t>月。</w:t>
      </w:r>
    </w:p>
    <w:p w14:paraId="4D77729A">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2、乙方应在试验结束后【30】个工作日内向甲方提交临床研究病例报告表、临床研究小结表、总结报告及其他书面资料，甲方按N</w:t>
      </w:r>
      <w:r>
        <w:rPr>
          <w:rFonts w:eastAsiaTheme="minorEastAsia"/>
          <w:color w:val="000000" w:themeColor="text1"/>
          <w:szCs w:val="21"/>
          <w14:textFill>
            <w14:solidFill>
              <w14:schemeClr w14:val="tx1"/>
            </w14:solidFill>
          </w14:textFill>
        </w:rPr>
        <w:t>MPA</w:t>
      </w:r>
      <w:r>
        <w:rPr>
          <w:rFonts w:hint="eastAsia" w:eastAsiaTheme="minorEastAsia"/>
          <w:color w:val="000000" w:themeColor="text1"/>
          <w:szCs w:val="21"/>
          <w14:textFill>
            <w14:solidFill>
              <w14:schemeClr w14:val="tx1"/>
            </w14:solidFill>
          </w14:textFill>
        </w:rPr>
        <w:t>颁布的药物临床研究相关法规中对新药临床试验的要求，以及临床研究方案的相关内容，对乙方提供的临床研究病例报告表、临床研究小结表、总结报告及其他书面资料进行验收。</w:t>
      </w:r>
      <w:r>
        <w:rPr>
          <w:rFonts w:hint="eastAsia" w:eastAsiaTheme="minorEastAsia"/>
          <w:szCs w:val="21"/>
        </w:rPr>
        <w:t>乙方提供的前述资料、报告经甲方验收合格后，</w:t>
      </w:r>
      <w:r>
        <w:rPr>
          <w:rFonts w:hint="eastAsia" w:eastAsiaTheme="minorEastAsia"/>
          <w:color w:val="000000" w:themeColor="text1"/>
          <w:szCs w:val="21"/>
          <w14:textFill>
            <w14:solidFill>
              <w14:schemeClr w14:val="tx1"/>
            </w14:solidFill>
          </w14:textFill>
        </w:rPr>
        <w:t>甲方在所有的研究经费已全部支付到乙方指定账户后，携带有关资料到乙方盖章，乙方应及时完成前述资料的盖章。</w:t>
      </w:r>
    </w:p>
    <w:p w14:paraId="2B8765FF">
      <w:pPr>
        <w:spacing w:line="360" w:lineRule="auto"/>
        <w:ind w:firstLine="420" w:firstLineChars="200"/>
        <w:contextualSpacing/>
        <w:rPr>
          <w:rFonts w:eastAsiaTheme="minorEastAsia"/>
          <w:b/>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3、若临床试验内容不符合研究方案和合同的要求，乙方应配合甲方进行补充、完善。</w:t>
      </w:r>
    </w:p>
    <w:p w14:paraId="3673205E">
      <w:pPr>
        <w:spacing w:line="360" w:lineRule="auto"/>
        <w:contextualSpacing/>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五、质量控制与保证：</w:t>
      </w:r>
    </w:p>
    <w:p w14:paraId="6DFD1F96">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r>
        <w:rPr>
          <w:rFonts w:hint="eastAsia" w:eastAsiaTheme="minorEastAsia"/>
          <w:color w:val="000000" w:themeColor="text1"/>
          <w:szCs w:val="21"/>
          <w14:textFill>
            <w14:solidFill>
              <w14:schemeClr w14:val="tx1"/>
            </w14:solidFill>
          </w14:textFill>
        </w:rPr>
        <w:t>、项目启动或招募受试者前，甲方应组织召开项目启动会，对方案和实施细节进行讲解和培训，如委托</w:t>
      </w:r>
      <w:r>
        <w:rPr>
          <w:rFonts w:eastAsiaTheme="minorEastAsia"/>
          <w:color w:val="000000" w:themeColor="text1"/>
          <w:szCs w:val="21"/>
          <w14:textFill>
            <w14:solidFill>
              <w14:schemeClr w14:val="tx1"/>
            </w14:solidFill>
          </w14:textFill>
        </w:rPr>
        <w:t>CRO</w:t>
      </w:r>
      <w:r>
        <w:rPr>
          <w:rFonts w:hint="eastAsia" w:eastAsiaTheme="minorEastAsia"/>
          <w:color w:val="000000" w:themeColor="text1"/>
          <w:szCs w:val="21"/>
          <w14:textFill>
            <w14:solidFill>
              <w14:schemeClr w14:val="tx1"/>
            </w14:solidFill>
          </w14:textFill>
        </w:rPr>
        <w:t>，应确保甲方和乙方的相关人员出席启动会。</w:t>
      </w:r>
      <w:r>
        <w:rPr>
          <w:rFonts w:eastAsiaTheme="minorEastAsia"/>
          <w:color w:val="000000" w:themeColor="text1"/>
          <w:szCs w:val="21"/>
          <w14:textFill>
            <w14:solidFill>
              <w14:schemeClr w14:val="tx1"/>
            </w14:solidFill>
          </w14:textFill>
        </w:rPr>
        <w:t xml:space="preserve"> </w:t>
      </w:r>
    </w:p>
    <w:p w14:paraId="722E7813">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r>
        <w:rPr>
          <w:rFonts w:hint="eastAsia" w:eastAsiaTheme="minorEastAsia"/>
          <w:color w:val="000000" w:themeColor="text1"/>
          <w:szCs w:val="21"/>
          <w14:textFill>
            <w14:solidFill>
              <w14:schemeClr w14:val="tx1"/>
            </w14:solidFill>
          </w14:textFill>
        </w:rPr>
        <w:t>、受试者入组后，甲方应及时进行监查，并向研究者反馈监查问题，研究者进行整改，完善和优化项目的执行和质量。</w:t>
      </w:r>
      <w:r>
        <w:rPr>
          <w:rFonts w:eastAsiaTheme="minorEastAsia"/>
          <w:color w:val="000000" w:themeColor="text1"/>
          <w:szCs w:val="21"/>
          <w14:textFill>
            <w14:solidFill>
              <w14:schemeClr w14:val="tx1"/>
            </w14:solidFill>
          </w14:textFill>
        </w:rPr>
        <w:t xml:space="preserve"> </w:t>
      </w:r>
    </w:p>
    <w:p w14:paraId="4045F1E8">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3、项目结题，甲方应按乙方入组病例数和乙方要求完成相关审核。</w:t>
      </w:r>
    </w:p>
    <w:p w14:paraId="1C553F4A">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4、甲方负责委派合格的监查员，并为乙方所接受，依照监查员的工作任务监查临床研究实施过程和所有试验资料，并就监查中发现的问题与研究者协商解决。如果甲方或监查员发现乙方未严格执行试验方案或未严格执行</w:t>
      </w:r>
      <w:r>
        <w:rPr>
          <w:rFonts w:eastAsiaTheme="minorEastAsia"/>
          <w:color w:val="000000" w:themeColor="text1"/>
          <w:szCs w:val="21"/>
          <w14:textFill>
            <w14:solidFill>
              <w14:schemeClr w14:val="tx1"/>
            </w14:solidFill>
          </w14:textFill>
        </w:rPr>
        <w:t>GCP</w:t>
      </w:r>
      <w:r>
        <w:rPr>
          <w:rFonts w:hint="eastAsia" w:eastAsiaTheme="minorEastAsia"/>
          <w:color w:val="000000" w:themeColor="text1"/>
          <w:szCs w:val="21"/>
          <w14:textFill>
            <w14:solidFill>
              <w14:schemeClr w14:val="tx1"/>
            </w14:solidFill>
          </w14:textFill>
        </w:rPr>
        <w:t>，甲方或监查员应及时书面通知研究者进行改正。</w:t>
      </w:r>
    </w:p>
    <w:p w14:paraId="65F74ACE">
      <w:pPr>
        <w:spacing w:line="360" w:lineRule="auto"/>
        <w:contextualSpacing/>
        <w:rPr>
          <w:rFonts w:eastAsiaTheme="minorEastAsia"/>
          <w:b/>
          <w:color w:val="000000" w:themeColor="text1"/>
          <w:szCs w:val="21"/>
          <w14:textFill>
            <w14:solidFill>
              <w14:schemeClr w14:val="tx1"/>
            </w14:solidFill>
          </w14:textFill>
        </w:rPr>
      </w:pPr>
    </w:p>
    <w:p w14:paraId="20B7EDF2">
      <w:pPr>
        <w:spacing w:line="360" w:lineRule="auto"/>
        <w:contextualSpacing/>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六、保密及知识产权、成果归属与分享、研究资料保存、廉洁约定：</w:t>
      </w:r>
    </w:p>
    <w:p w14:paraId="6143A4B6">
      <w:pPr>
        <w:pStyle w:val="27"/>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乙方应当对本合同涉及的内容（包括但不限于乙方、研究者及乙方其他人员在临床研究期间获得的所有病例报告表、原始记录及数据、试验内容和结果以及本试验项目的用途、进度等一切与本临床试验相关的资料或文献，简称“甲方保密信息”）承担保密义务。乙方不得以任何形式向任何第三方泄露甲方保密信息，也不得将本合同项目的结果和样品向第三方转让或以任何不正当方式侵犯甲方的商业秘密或知识产权。此保密义务应当不受时间限制而持续有效；乙方如违反保密要求，应承担甲方因此遭受的损失。</w:t>
      </w:r>
    </w:p>
    <w:p w14:paraId="25A8D172">
      <w:pPr>
        <w:pStyle w:val="27"/>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、本临床试验相关的全部内容以及本临床试验产生的所有研究数据、信息和结果等的知识产权、技术秘密或商业利益等均归甲方单独所有，未经甲方事先书面同意，乙方不得擅自使用或向任何第三方转让。</w:t>
      </w:r>
    </w:p>
    <w:p w14:paraId="2868E0AB">
      <w:pPr>
        <w:pStyle w:val="27"/>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、经友好协商，乙方的研究者可在期刊杂志上发表与本临床试验相关的论文或在专业性会议或其它会议上介绍本中心的研究情况，甲方享有署名权。乙方不得发布试验药物</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产品缺陷的内容，但因按国家相关法规要求需要上报的严重不良事件信息除外，乙方发布任何研究情况前应及时将拟发布的内容知会甲方，并征得甲方书面同意。研究观察结束后，若甲方在公开场合发表与本研究相关的学术论文，甲方享有全部著作权，乙方可享有论文署名权。</w:t>
      </w:r>
    </w:p>
    <w:p w14:paraId="75D40202">
      <w:pPr>
        <w:pStyle w:val="27"/>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14:textFill>
            <w14:solidFill>
              <w14:schemeClr w14:val="tx1"/>
            </w14:solidFill>
          </w14:textFill>
        </w:rPr>
        <w:t>4、</w:t>
      </w:r>
      <w:r>
        <w:rPr>
          <w:rFonts w:hint="eastAsia" w:eastAsiaTheme="minorEastAsia"/>
          <w:color w:val="000000" w:themeColor="text1"/>
          <w:szCs w:val="21"/>
          <w14:textFill>
            <w14:solidFill>
              <w14:schemeClr w14:val="tx1"/>
            </w14:solidFill>
          </w14:textFill>
        </w:rPr>
        <w:t>乙方须安排保存受试者文件，其他原始数据以及与本临床试验相关的所有文件，</w:t>
      </w:r>
      <w:r>
        <w:rPr>
          <w:rFonts w:hint="eastAsia" w:eastAsiaTheme="minorEastAsia"/>
          <w:color w:val="FF0000"/>
          <w:szCs w:val="21"/>
        </w:rPr>
        <w:t>且保存至本临床试验结束后</w:t>
      </w:r>
      <w:r>
        <w:rPr>
          <w:rFonts w:eastAsiaTheme="minorEastAsia"/>
          <w:color w:val="FF0000"/>
          <w:szCs w:val="21"/>
        </w:rPr>
        <w:t>5</w:t>
      </w:r>
      <w:r>
        <w:rPr>
          <w:rFonts w:hint="eastAsia" w:eastAsiaTheme="minorEastAsia"/>
          <w:color w:val="FF0000"/>
          <w:szCs w:val="21"/>
        </w:rPr>
        <w:t>年</w:t>
      </w:r>
      <w:r>
        <w:rPr>
          <w:rFonts w:hint="eastAsia" w:eastAsiaTheme="minorEastAsia"/>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5</w:t>
      </w:r>
      <w:r>
        <w:rPr>
          <w:rFonts w:hint="eastAsia" w:eastAsiaTheme="minorEastAsia"/>
          <w:color w:val="000000" w:themeColor="text1"/>
          <w:szCs w:val="21"/>
          <w14:textFill>
            <w14:solidFill>
              <w14:schemeClr w14:val="tx1"/>
            </w14:solidFill>
          </w14:textFill>
        </w:rPr>
        <w:t>年期到期前</w:t>
      </w:r>
      <w:r>
        <w:rPr>
          <w:rFonts w:eastAsiaTheme="minorEastAsia"/>
          <w:color w:val="000000" w:themeColor="text1"/>
          <w:szCs w:val="21"/>
          <w14:textFill>
            <w14:solidFill>
              <w14:schemeClr w14:val="tx1"/>
            </w14:solidFill>
          </w14:textFill>
        </w:rPr>
        <w:t>3</w:t>
      </w:r>
      <w:r>
        <w:rPr>
          <w:rFonts w:hint="eastAsia" w:eastAsiaTheme="minorEastAsia"/>
          <w:color w:val="000000" w:themeColor="text1"/>
          <w:szCs w:val="21"/>
          <w14:textFill>
            <w14:solidFill>
              <w14:schemeClr w14:val="tx1"/>
            </w14:solidFill>
          </w14:textFill>
        </w:rPr>
        <w:t>个月，甲方应主动与乙方联系，沟通后续保存问题。如果甲方需要继续由乙方保存，则甲方按照乙方当时的收费标准向乙方支付资料保存费用。如甲方未按照前述约定联系乙方的，乙方自免费保存期届满后书面通知甲方，如甲方需继续保存的，则按照前述约定支付资料保存费用，如不需要继续保存的，乙方应将资料移交甲方；如免费保存期届满超过</w:t>
      </w:r>
      <w:r>
        <w:rPr>
          <w:rFonts w:eastAsiaTheme="minorEastAsia"/>
          <w:color w:val="000000" w:themeColor="text1"/>
          <w:szCs w:val="21"/>
          <w14:textFill>
            <w14:solidFill>
              <w14:schemeClr w14:val="tx1"/>
            </w14:solidFill>
          </w14:textFill>
        </w:rPr>
        <w:t>1</w:t>
      </w:r>
      <w:r>
        <w:rPr>
          <w:rFonts w:hint="eastAsia" w:eastAsiaTheme="minorEastAsia"/>
          <w:color w:val="000000" w:themeColor="text1"/>
          <w:szCs w:val="21"/>
          <w14:textFill>
            <w14:solidFill>
              <w14:schemeClr w14:val="tx1"/>
            </w14:solidFill>
          </w14:textFill>
        </w:rPr>
        <w:t>年，甲方未与乙方联系，也未向乙方交纳相应资料保存费用的，视为乙方有权自行处理文件。</w:t>
      </w:r>
    </w:p>
    <w:p w14:paraId="5E1B481D">
      <w:pPr>
        <w:spacing w:line="440" w:lineRule="exact"/>
        <w:ind w:firstLine="371" w:firstLineChars="177"/>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5、甲乙双方互负廉洁义务，任何一方或其工作人员均不得以任何理由、形式向对方或其工作人员行贿、索贿，也不得接受对方给予的任何形式的贿赂。任何一方违反廉洁义务的，对方有权予以举报，违反廉洁义务的一方应当承担相应的法律责任，并赔偿另一方因此遭受的全部损失。</w:t>
      </w:r>
    </w:p>
    <w:p w14:paraId="5DBB4D66">
      <w:pPr>
        <w:spacing w:line="360" w:lineRule="auto"/>
        <w:contextualSpacing/>
        <w:rPr>
          <w:rFonts w:eastAsiaTheme="minorEastAsia"/>
          <w:b/>
          <w:color w:val="000000" w:themeColor="text1"/>
          <w:szCs w:val="21"/>
          <w14:textFill>
            <w14:solidFill>
              <w14:schemeClr w14:val="tx1"/>
            </w14:solidFill>
          </w14:textFill>
        </w:rPr>
      </w:pPr>
    </w:p>
    <w:p w14:paraId="49141200">
      <w:pPr>
        <w:spacing w:line="360" w:lineRule="auto"/>
        <w:contextualSpacing/>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七、保险及受试者权益保护和赔偿：</w:t>
      </w:r>
    </w:p>
    <w:p w14:paraId="53F89386">
      <w:pPr>
        <w:pStyle w:val="27"/>
        <w:spacing w:line="360" w:lineRule="auto"/>
        <w:rPr>
          <w:rFonts w:hint="eastAsia" w:eastAsia="宋体"/>
          <w:color w:val="000000" w:themeColor="text1"/>
          <w:szCs w:val="21"/>
          <w:lang w:eastAsia="zh-CN"/>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甲方应按照法律规定对参加临床试验的受试者投保临床试验责任险，并将该保险单、保险合同副本复印件或者影印件提供给乙方。甲方已为本临床试验的受试者购买了临床试验保险，保险单号为：【】，保险期限：【】年【】月【】日至【】年【】月【】日。临床试验责任险应对于发生因参加本临床试验引起的损害或死亡的受试者承担治疗的费用及相应的经济补偿，包括但不限于直接由试验药物引起的伤害以及由方案规定的试验步骤以及方案规定的对照药品引起的伤害。如果甲方为受试者购买的保险不能满足受试者补偿或赔偿，由甲方对受试者承担赔偿或补偿责任</w:t>
      </w:r>
      <w:r>
        <w:rPr>
          <w:rFonts w:hint="eastAsia"/>
          <w:color w:val="000000" w:themeColor="text1"/>
          <w:szCs w:val="21"/>
          <w:lang w:eastAsia="zh-CN"/>
          <w14:textFill>
            <w14:solidFill>
              <w14:schemeClr w14:val="tx1"/>
            </w14:solidFill>
          </w14:textFill>
        </w:rPr>
        <w:t>。</w:t>
      </w:r>
    </w:p>
    <w:p w14:paraId="3C6BB533">
      <w:pPr>
        <w:pStyle w:val="27"/>
        <w:spacing w:line="360" w:lineRule="auto"/>
        <w:rPr>
          <w:rFonts w:hint="eastAsia"/>
          <w:color w:val="000000" w:themeColor="text1"/>
          <w:szCs w:val="21"/>
          <w:lang w:eastAsia="zh-CN"/>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、在试验过程中发生与试验相关的损害后果时，因此发生的医疗费用、经济补偿或者赔偿、案件的律师费、诉讼费等与诉讼相关的费用由甲方承担</w:t>
      </w:r>
      <w:r>
        <w:rPr>
          <w:rFonts w:hint="eastAsia"/>
          <w:color w:val="000000" w:themeColor="text1"/>
          <w:szCs w:val="21"/>
          <w:lang w:eastAsia="zh-CN"/>
          <w14:textFill>
            <w14:solidFill>
              <w14:schemeClr w14:val="tx1"/>
            </w14:solidFill>
          </w14:textFill>
        </w:rPr>
        <w:t>。</w:t>
      </w:r>
    </w:p>
    <w:p w14:paraId="46968497">
      <w:pPr>
        <w:pStyle w:val="27"/>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对试验所发生的需要及时处理（包括但不限于治疗、赔偿等）的不良事件，甲方应与研究者迅速采取措施进行处置。如果出现与试验相关的不良事件或严重不良事件，研究者应及时处理并随访到不良事件或严重不良事件消失、正常或转归，甲方应及时垫付受试者因不良事件或严重不良事件产生的医疗费用，并给予受试者误工费、护理费、营养费、住院期间伙食补助费等法律规定的相关费用，事后确定为与试验相关的不良事件，应该由甲方承担赔偿责任</w:t>
      </w:r>
      <w:r>
        <w:rPr>
          <w:rFonts w:hint="eastAsia"/>
          <w:color w:val="FF0000"/>
          <w:szCs w:val="21"/>
        </w:rPr>
        <w:t>。</w:t>
      </w:r>
    </w:p>
    <w:p w14:paraId="3967E80E">
      <w:pPr>
        <w:pStyle w:val="27"/>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4、一旦因本试验发生受试者或研究者损害的赔偿纠纷或诉讼，乙方或研究者应立即通知甲方，甲方应立即委托专人（律师或甲方工作人员）与乙方共同处理相关事宜。</w:t>
      </w:r>
    </w:p>
    <w:p w14:paraId="13FBF65C">
      <w:pPr>
        <w:spacing w:line="360" w:lineRule="auto"/>
        <w:contextualSpacing/>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八、临床试验终止</w:t>
      </w:r>
    </w:p>
    <w:p w14:paraId="0F34BB8D">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r>
        <w:rPr>
          <w:rFonts w:hint="eastAsia" w:eastAsiaTheme="minorEastAsia"/>
          <w:color w:val="000000" w:themeColor="text1"/>
          <w:szCs w:val="21"/>
          <w14:textFill>
            <w14:solidFill>
              <w14:schemeClr w14:val="tx1"/>
            </w14:solidFill>
          </w14:textFill>
        </w:rPr>
        <w:t>、甲乙双方可在下列情况下终止临床试验及本协议：</w:t>
      </w:r>
    </w:p>
    <w:p w14:paraId="6601CAC5">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（1）任何一方发现药物疗效或安全性已不足以继续开展本临床试验时，应立即向另一方通报该情况；且经双方协商一致，可调整临床试验方案或提前终止本临床试验；</w:t>
      </w:r>
    </w:p>
    <w:p w14:paraId="4EABECA7">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（2）甲方监查、稽查中发现研究者不依从方案、药物管理不能满足试验要求，对受试者安全或试验数据造成实质性影响；</w:t>
      </w:r>
    </w:p>
    <w:p w14:paraId="7B3D2074">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（3）因乙方工作质量原因或入组速度不能满足试验需要；</w:t>
      </w:r>
    </w:p>
    <w:p w14:paraId="228A7ED7">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（4）药品监管部门、卫生行政管理部门或伦理委员会等对研究有监管责任的部门要求终止时；</w:t>
      </w:r>
    </w:p>
    <w:p w14:paraId="2C057411">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（5）甲方和乙方任何一方发生对本协议的实质性违约。</w:t>
      </w:r>
    </w:p>
    <w:p w14:paraId="682E2E8A">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r>
        <w:rPr>
          <w:rFonts w:hint="eastAsia" w:eastAsiaTheme="minorEastAsia"/>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双方协商终止临床试验的，应按照本合同相关约定办理费用结算，本合同自双方结算完成之日终止。</w:t>
      </w:r>
    </w:p>
    <w:p w14:paraId="2B001876">
      <w:pPr>
        <w:spacing w:line="360" w:lineRule="auto"/>
        <w:ind w:firstLine="420" w:firstLineChars="200"/>
        <w:contextualSpacing/>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w:t>
      </w:r>
      <w:r>
        <w:rPr>
          <w:rFonts w:hint="eastAsia" w:eastAsiaTheme="minorEastAsia"/>
          <w:color w:val="000000" w:themeColor="text1"/>
          <w:szCs w:val="21"/>
          <w14:textFill>
            <w14:solidFill>
              <w14:schemeClr w14:val="tx1"/>
            </w14:solidFill>
          </w14:textFill>
        </w:rPr>
        <w:t>、甲方提出终止试验时，乙方接到试验终止通知后，主要研究者同意在受试者医疗状况允许的情况下，立即终止全部临床研究；乙方或主要研究者提出终止试验时，甲方应积极配合关闭乙方的工作。乙方应在试验终止后将已完成的工作资料整理归档，并根据甲方的要求完成移交。</w:t>
      </w:r>
    </w:p>
    <w:p w14:paraId="45CC3C02">
      <w:pPr>
        <w:spacing w:line="360" w:lineRule="auto"/>
        <w:contextualSpacing/>
        <w:rPr>
          <w:rFonts w:eastAsiaTheme="minorEastAsia"/>
          <w:b/>
          <w:color w:val="000000" w:themeColor="text1"/>
          <w:szCs w:val="21"/>
          <w14:textFill>
            <w14:solidFill>
              <w14:schemeClr w14:val="tx1"/>
            </w14:solidFill>
          </w14:textFill>
        </w:rPr>
      </w:pPr>
    </w:p>
    <w:p w14:paraId="6D818936">
      <w:pPr>
        <w:spacing w:line="360" w:lineRule="auto"/>
        <w:contextualSpacing/>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九、违约责任</w:t>
      </w:r>
    </w:p>
    <w:p w14:paraId="4ECF9681">
      <w:pPr>
        <w:pStyle w:val="27"/>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、若甲方未按本合同规定的时间和金额付款或未按规定的时间提供临床研究用药品及相关设备物资，乙方有权将合同规定之完成期限相应顺延。</w:t>
      </w:r>
    </w:p>
    <w:p w14:paraId="35F4BE43">
      <w:pPr>
        <w:pStyle w:val="27"/>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、甲方逾期支付经费的，每逾期一天，甲方向乙方支付当期按照实际发生结算金额的未支付部分0.5</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的违约金。</w:t>
      </w:r>
    </w:p>
    <w:p w14:paraId="45B8C4A1">
      <w:pPr>
        <w:spacing w:line="360" w:lineRule="auto"/>
        <w:contextualSpacing/>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十、合同变更、生效及争议处理方法：</w:t>
      </w:r>
    </w:p>
    <w:p w14:paraId="6A15EF43">
      <w:pPr>
        <w:pStyle w:val="27"/>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、本合同签署后，任何变更、修改或补充的，应当经双方协商一致并签订相应的补充协议。</w:t>
      </w:r>
    </w:p>
    <w:p w14:paraId="53F263E7">
      <w:pPr>
        <w:pStyle w:val="27"/>
        <w:spacing w:line="360" w:lineRule="auto"/>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、本项目的试验方案和中国</w:t>
      </w:r>
      <w:r>
        <w:rPr>
          <w:color w:val="000000" w:themeColor="text1"/>
          <w:szCs w:val="21"/>
          <w14:textFill>
            <w14:solidFill>
              <w14:schemeClr w14:val="tx1"/>
            </w14:solidFill>
          </w14:textFill>
        </w:rPr>
        <w:t xml:space="preserve">GCP </w:t>
      </w:r>
      <w:r>
        <w:rPr>
          <w:rFonts w:hint="eastAsia"/>
          <w:color w:val="000000" w:themeColor="text1"/>
          <w:szCs w:val="21"/>
          <w14:textFill>
            <w14:solidFill>
              <w14:schemeClr w14:val="tx1"/>
            </w14:solidFill>
          </w14:textFill>
        </w:rPr>
        <w:t>和其他相关法律法规适用于本合同，双方应严格遵守，违者视为违反本合同。因本合同产生争议的，双方协商解决；经协商仍不能达成一致意见的，</w:t>
      </w:r>
      <w:r>
        <w:rPr>
          <w:rFonts w:hint="eastAsia"/>
          <w:color w:val="000000" w:themeColor="text1"/>
          <w:szCs w:val="21"/>
          <w:lang w:val="en-US" w:eastAsia="zh-CN"/>
          <w14:textFill>
            <w14:solidFill>
              <w14:schemeClr w14:val="tx1"/>
            </w14:solidFill>
          </w14:textFill>
        </w:rPr>
        <w:t>双方均有权向研究机构所在地法院提起诉讼</w:t>
      </w:r>
      <w:r>
        <w:rPr>
          <w:rFonts w:hint="eastAsia"/>
          <w:color w:val="000000" w:themeColor="text1"/>
          <w:szCs w:val="21"/>
          <w14:textFill>
            <w14:solidFill>
              <w14:schemeClr w14:val="tx1"/>
            </w14:solidFill>
          </w14:textFill>
        </w:rPr>
        <w:t>。</w:t>
      </w:r>
    </w:p>
    <w:p w14:paraId="1E0BB16E">
      <w:pPr>
        <w:pStyle w:val="27"/>
        <w:spacing w:line="360" w:lineRule="auto"/>
        <w:rPr>
          <w:color w:val="000000" w:themeColor="text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本合同一式伍份，甲方保留贰份、乙方保留贰份、主要研究者保留壹份，均具有同等法律效力。本合同经签约各方签字并加盖公章或合同专用章后，自最后一个签章日期起生效，合同有效期至本临床试验结束，除本合同另有约定外，任何一方不得无故单独终止合同。</w:t>
      </w:r>
    </w:p>
    <w:p w14:paraId="255C1E2C">
      <w:pPr>
        <w:pStyle w:val="27"/>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除本合同另有约定外，双方在本合同项下的一切往来文件及通知均应采用书面形式以传真、电子邮件或快递方式按本协议首页载明的通知方式、地址进行送达，其中传真、电子邮箱以发出日为送达日，快递以发出方特有的发送凭证上邮戳日起第【三】日视为送达日。如首页载明的通知方式、地址有变更的，应当在变更之日内【三】日内按本合同约定的方式通知另一方。</w:t>
      </w:r>
    </w:p>
    <w:p w14:paraId="13A18324">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w:t>
      </w:r>
      <w:r>
        <w:rPr>
          <w:rFonts w:hint="eastAsia" w:eastAsiaTheme="minorEastAsia"/>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附件为本合同有效组成部分，与本合同具有同等法律效力。</w:t>
      </w:r>
    </w:p>
    <w:p w14:paraId="604BCE0C">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附件</w:t>
      </w:r>
      <w:r>
        <w:rPr>
          <w:rFonts w:eastAsiaTheme="minorEastAsia"/>
          <w:color w:val="000000" w:themeColor="text1"/>
          <w:szCs w:val="21"/>
          <w14:textFill>
            <w14:solidFill>
              <w14:schemeClr w14:val="tx1"/>
            </w14:solidFill>
          </w14:textFill>
        </w:rPr>
        <w:t>1</w:t>
      </w:r>
      <w:r>
        <w:rPr>
          <w:rFonts w:hint="eastAsia" w:eastAsiaTheme="minorEastAsia"/>
          <w:color w:val="000000" w:themeColor="text1"/>
          <w:szCs w:val="21"/>
          <w14:textFill>
            <w14:solidFill>
              <w14:schemeClr w14:val="tx1"/>
            </w14:solidFill>
          </w14:textFill>
        </w:rPr>
        <w:t>：《研究者观察费明细》</w:t>
      </w:r>
    </w:p>
    <w:p w14:paraId="4F117EC9">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附件</w:t>
      </w:r>
      <w:r>
        <w:rPr>
          <w:rFonts w:eastAsiaTheme="minorEastAsia"/>
          <w:color w:val="000000" w:themeColor="text1"/>
          <w:szCs w:val="21"/>
          <w14:textFill>
            <w14:solidFill>
              <w14:schemeClr w14:val="tx1"/>
            </w14:solidFill>
          </w14:textFill>
        </w:rPr>
        <w:t>2</w:t>
      </w:r>
      <w:r>
        <w:rPr>
          <w:rFonts w:hint="eastAsia" w:eastAsiaTheme="minorEastAsia"/>
          <w:color w:val="000000" w:themeColor="text1"/>
          <w:szCs w:val="21"/>
          <w14:textFill>
            <w14:solidFill>
              <w14:schemeClr w14:val="tx1"/>
            </w14:solidFill>
          </w14:textFill>
        </w:rPr>
        <w:t>：《受试者检查费明细》</w:t>
      </w:r>
    </w:p>
    <w:p w14:paraId="5437E44B">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附件3：《辅助观察费明细》</w:t>
      </w:r>
    </w:p>
    <w:p w14:paraId="419A74F3">
      <w:pPr>
        <w:spacing w:line="360" w:lineRule="auto"/>
        <w:ind w:firstLine="420" w:firstLineChars="200"/>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附件4：《受试者补偿明细》</w:t>
      </w:r>
    </w:p>
    <w:p w14:paraId="530ED093">
      <w:pPr>
        <w:spacing w:line="360" w:lineRule="auto"/>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（以下无正文）</w:t>
      </w:r>
    </w:p>
    <w:p w14:paraId="560C4370">
      <w:pPr>
        <w:spacing w:line="360" w:lineRule="auto"/>
        <w:rPr>
          <w:rFonts w:eastAsiaTheme="minorEastAsia"/>
          <w:b/>
          <w:color w:val="000000" w:themeColor="text1"/>
          <w:szCs w:val="21"/>
          <w14:textFill>
            <w14:solidFill>
              <w14:schemeClr w14:val="tx1"/>
            </w14:solidFill>
          </w14:textFill>
        </w:rPr>
      </w:pPr>
    </w:p>
    <w:p w14:paraId="4EB2E8C5">
      <w:pPr>
        <w:spacing w:line="360" w:lineRule="auto"/>
        <w:rPr>
          <w:rFonts w:eastAsiaTheme="minorEastAsia"/>
          <w:b/>
          <w:color w:val="000000" w:themeColor="text1"/>
          <w:szCs w:val="21"/>
          <w14:textFill>
            <w14:solidFill>
              <w14:schemeClr w14:val="tx1"/>
            </w14:solidFill>
          </w14:textFill>
        </w:rPr>
      </w:pPr>
    </w:p>
    <w:p w14:paraId="555F4DCD">
      <w:pPr>
        <w:widowControl/>
        <w:spacing w:line="360" w:lineRule="auto"/>
        <w:jc w:val="left"/>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p>
    <w:p w14:paraId="771226B5">
      <w:pPr>
        <w:spacing w:line="360" w:lineRule="auto"/>
        <w:jc w:val="center"/>
        <w:rPr>
          <w:rFonts w:eastAsiaTheme="minorEastAsia"/>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（此页为编号【</w:t>
      </w:r>
      <w:r>
        <w:rPr>
          <w:rFonts w:hint="eastAsia" w:eastAsiaTheme="minorEastAsia"/>
          <w:b/>
          <w:i/>
          <w:color w:val="FF0000"/>
          <w:szCs w:val="21"/>
        </w:rPr>
        <w:t>与合同首页编号一致</w:t>
      </w:r>
      <w:r>
        <w:rPr>
          <w:rFonts w:hint="eastAsia" w:eastAsiaTheme="minorEastAsia"/>
          <w:b/>
          <w:color w:val="000000" w:themeColor="text1"/>
          <w:szCs w:val="21"/>
          <w14:textFill>
            <w14:solidFill>
              <w14:schemeClr w14:val="tx1"/>
            </w14:solidFill>
          </w14:textFill>
        </w:rPr>
        <w:t>】药物临床试验合同的签章页）</w:t>
      </w:r>
    </w:p>
    <w:p w14:paraId="358FE867">
      <w:pPr>
        <w:spacing w:line="360" w:lineRule="auto"/>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甲方（申办方）：</w:t>
      </w:r>
    </w:p>
    <w:p w14:paraId="5148B7A4">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法定代表人</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委托代理人（签字）</w:t>
      </w:r>
    </w:p>
    <w:p w14:paraId="1EB6AB1E">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日期：</w:t>
      </w:r>
    </w:p>
    <w:p w14:paraId="29292E12">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联系部门</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 xml:space="preserve">联系人：             </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 xml:space="preserve">电话： </w:t>
      </w:r>
    </w:p>
    <w:p w14:paraId="685754F1">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通讯地址：</w:t>
      </w:r>
    </w:p>
    <w:p w14:paraId="49784B31">
      <w:pPr>
        <w:spacing w:line="360" w:lineRule="auto"/>
        <w:rPr>
          <w:rFonts w:eastAsiaTheme="minorEastAsia"/>
          <w:color w:val="000000" w:themeColor="text1"/>
          <w:szCs w:val="21"/>
          <w14:textFill>
            <w14:solidFill>
              <w14:schemeClr w14:val="tx1"/>
            </w14:solidFill>
          </w14:textFill>
        </w:rPr>
      </w:pPr>
    </w:p>
    <w:p w14:paraId="6E62222D">
      <w:pPr>
        <w:spacing w:line="360" w:lineRule="auto"/>
        <w:rPr>
          <w:rFonts w:eastAsiaTheme="minorEastAsia"/>
          <w:color w:val="000000" w:themeColor="text1"/>
          <w:szCs w:val="21"/>
          <w14:textFill>
            <w14:solidFill>
              <w14:schemeClr w14:val="tx1"/>
            </w14:solidFill>
          </w14:textFill>
        </w:rPr>
      </w:pPr>
    </w:p>
    <w:p w14:paraId="2471AFF0">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乙方（研究机构）：</w:t>
      </w:r>
    </w:p>
    <w:p w14:paraId="5959B1B3">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机构主任</w:t>
      </w:r>
      <w:r>
        <w:rPr>
          <w:rFonts w:hint="eastAsia" w:eastAsiaTheme="minorEastAsia"/>
          <w:color w:val="000000" w:themeColor="text1"/>
          <w:szCs w:val="21"/>
          <w14:textFill>
            <w14:solidFill>
              <w14:schemeClr w14:val="tx1"/>
            </w14:solidFill>
          </w14:textFill>
        </w:rPr>
        <w:t>（签字）</w:t>
      </w:r>
    </w:p>
    <w:p w14:paraId="1E2950C0">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日期：</w:t>
      </w:r>
    </w:p>
    <w:p w14:paraId="082AEFFA">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电话：</w:t>
      </w:r>
    </w:p>
    <w:p w14:paraId="60AA5A5A">
      <w:pPr>
        <w:spacing w:line="360" w:lineRule="auto"/>
        <w:rPr>
          <w:rFonts w:eastAsiaTheme="minorEastAsia"/>
          <w:color w:val="000000" w:themeColor="text1"/>
          <w:szCs w:val="21"/>
          <w14:textFill>
            <w14:solidFill>
              <w14:schemeClr w14:val="tx1"/>
            </w14:solidFill>
          </w14:textFill>
        </w:rPr>
      </w:pPr>
    </w:p>
    <w:p w14:paraId="1691A8DB">
      <w:pPr>
        <w:spacing w:line="360" w:lineRule="auto"/>
        <w:rPr>
          <w:rFonts w:eastAsiaTheme="minorEastAsia"/>
          <w:color w:val="000000" w:themeColor="text1"/>
          <w:szCs w:val="21"/>
          <w14:textFill>
            <w14:solidFill>
              <w14:schemeClr w14:val="tx1"/>
            </w14:solidFill>
          </w14:textFill>
        </w:rPr>
      </w:pPr>
    </w:p>
    <w:p w14:paraId="7573A2EA">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主要研究者（签字）</w:t>
      </w:r>
    </w:p>
    <w:p w14:paraId="257F3714">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日期：</w:t>
      </w:r>
    </w:p>
    <w:p w14:paraId="6EA4C59A">
      <w:pPr>
        <w:spacing w:line="360" w:lineRule="auto"/>
        <w:rPr>
          <w:rFonts w:eastAsiaTheme="minorEastAsia"/>
          <w:color w:val="000000" w:themeColor="text1"/>
          <w:szCs w:val="21"/>
          <w14:textFill>
            <w14:solidFill>
              <w14:schemeClr w14:val="tx1"/>
            </w14:solidFill>
          </w14:textFill>
        </w:rPr>
      </w:pPr>
    </w:p>
    <w:p w14:paraId="271F9B0B">
      <w:pPr>
        <w:spacing w:line="360" w:lineRule="auto"/>
        <w:rPr>
          <w:rFonts w:eastAsiaTheme="minorEastAsia"/>
          <w:b/>
          <w:bCs/>
          <w:color w:val="000000" w:themeColor="text1"/>
          <w:szCs w:val="21"/>
          <w14:textFill>
            <w14:solidFill>
              <w14:schemeClr w14:val="tx1"/>
            </w14:solidFill>
          </w14:textFill>
        </w:rPr>
      </w:pPr>
    </w:p>
    <w:p w14:paraId="04BF3645">
      <w:pPr>
        <w:widowControl/>
        <w:jc w:val="left"/>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br w:type="page"/>
      </w:r>
    </w:p>
    <w:p w14:paraId="0C23E733">
      <w:pPr>
        <w:widowControl/>
        <w:jc w:val="left"/>
        <w:rPr>
          <w:rFonts w:eastAsiaTheme="minorEastAsia"/>
          <w:color w:val="000000" w:themeColor="text1"/>
          <w:szCs w:val="21"/>
          <w14:textFill>
            <w14:solidFill>
              <w14:schemeClr w14:val="tx1"/>
            </w14:solidFill>
          </w14:textFill>
        </w:rPr>
        <w:sectPr>
          <w:headerReference r:id="rId3" w:type="default"/>
          <w:footerReference r:id="rId4" w:type="default"/>
          <w:footerReference r:id="rId5" w:type="even"/>
          <w:pgSz w:w="11906" w:h="16838"/>
          <w:pgMar w:top="1440" w:right="1080" w:bottom="1440" w:left="1080" w:header="851" w:footer="992" w:gutter="0"/>
          <w:cols w:space="720" w:num="1"/>
          <w:docGrid w:type="lines" w:linePitch="312" w:charSpace="0"/>
        </w:sectPr>
      </w:pPr>
    </w:p>
    <w:p w14:paraId="42143F01">
      <w:pPr>
        <w:widowControl/>
        <w:jc w:val="left"/>
        <w:rPr>
          <w:rFonts w:eastAsiaTheme="minorEastAsia"/>
          <w:color w:val="000000" w:themeColor="text1"/>
          <w:szCs w:val="21"/>
          <w14:textFill>
            <w14:solidFill>
              <w14:schemeClr w14:val="tx1"/>
            </w14:solidFill>
          </w14:textFill>
        </w:rPr>
      </w:pPr>
    </w:p>
    <w:p w14:paraId="5DF05452">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附件</w:t>
      </w:r>
      <w:r>
        <w:rPr>
          <w:rFonts w:eastAsiaTheme="minorEastAsia"/>
          <w:color w:val="000000" w:themeColor="text1"/>
          <w:szCs w:val="21"/>
          <w14:textFill>
            <w14:solidFill>
              <w14:schemeClr w14:val="tx1"/>
            </w14:solidFill>
          </w14:textFill>
        </w:rPr>
        <w:t>1</w:t>
      </w:r>
      <w:r>
        <w:rPr>
          <w:rFonts w:hint="eastAsia" w:eastAsiaTheme="minorEastAsia"/>
          <w:color w:val="000000" w:themeColor="text1"/>
          <w:szCs w:val="21"/>
          <w14:textFill>
            <w14:solidFill>
              <w14:schemeClr w14:val="tx1"/>
            </w14:solidFill>
          </w14:textFill>
        </w:rPr>
        <w:t>：《研究者观察费明细》</w:t>
      </w:r>
    </w:p>
    <w:tbl>
      <w:tblPr>
        <w:tblStyle w:val="9"/>
        <w:tblW w:w="14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26"/>
        <w:gridCol w:w="718"/>
        <w:gridCol w:w="718"/>
        <w:gridCol w:w="823"/>
        <w:gridCol w:w="718"/>
        <w:gridCol w:w="718"/>
        <w:gridCol w:w="718"/>
        <w:gridCol w:w="718"/>
        <w:gridCol w:w="718"/>
        <w:gridCol w:w="718"/>
        <w:gridCol w:w="718"/>
        <w:gridCol w:w="765"/>
        <w:gridCol w:w="718"/>
        <w:gridCol w:w="718"/>
        <w:gridCol w:w="690"/>
        <w:gridCol w:w="709"/>
        <w:gridCol w:w="701"/>
        <w:gridCol w:w="636"/>
        <w:gridCol w:w="636"/>
      </w:tblGrid>
      <w:tr w14:paraId="4E50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l2br w:val="single" w:color="auto" w:sz="4" w:space="0"/>
            </w:tcBorders>
          </w:tcPr>
          <w:p w14:paraId="6C00E468">
            <w:pPr>
              <w:spacing w:line="360" w:lineRule="auto"/>
              <w:rPr>
                <w:rFonts w:eastAsiaTheme="minorEastAsia"/>
                <w:color w:val="000000" w:themeColor="text1"/>
                <w:szCs w:val="21"/>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tcPr>
          <w:p w14:paraId="0CB34131">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筛选期</w:t>
            </w:r>
          </w:p>
        </w:tc>
        <w:tc>
          <w:tcPr>
            <w:tcW w:w="718" w:type="dxa"/>
            <w:tcBorders>
              <w:top w:val="single" w:color="auto" w:sz="4" w:space="0"/>
              <w:left w:val="single" w:color="auto" w:sz="4" w:space="0"/>
              <w:bottom w:val="single" w:color="auto" w:sz="4" w:space="0"/>
              <w:right w:val="single" w:color="auto" w:sz="4" w:space="0"/>
            </w:tcBorders>
          </w:tcPr>
          <w:p w14:paraId="4E7ED17A">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C1D1</w:t>
            </w:r>
          </w:p>
        </w:tc>
        <w:tc>
          <w:tcPr>
            <w:tcW w:w="718" w:type="dxa"/>
            <w:tcBorders>
              <w:top w:val="single" w:color="auto" w:sz="4" w:space="0"/>
              <w:left w:val="single" w:color="auto" w:sz="4" w:space="0"/>
              <w:bottom w:val="single" w:color="auto" w:sz="4" w:space="0"/>
              <w:right w:val="single" w:color="auto" w:sz="4" w:space="0"/>
            </w:tcBorders>
          </w:tcPr>
          <w:p w14:paraId="22D9852C">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C1D8</w:t>
            </w:r>
          </w:p>
        </w:tc>
        <w:tc>
          <w:tcPr>
            <w:tcW w:w="823" w:type="dxa"/>
            <w:tcBorders>
              <w:top w:val="single" w:color="auto" w:sz="4" w:space="0"/>
              <w:left w:val="single" w:color="auto" w:sz="4" w:space="0"/>
              <w:bottom w:val="single" w:color="auto" w:sz="4" w:space="0"/>
              <w:right w:val="single" w:color="auto" w:sz="4" w:space="0"/>
            </w:tcBorders>
          </w:tcPr>
          <w:p w14:paraId="49BF78EF">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C1D15</w:t>
            </w:r>
          </w:p>
        </w:tc>
        <w:tc>
          <w:tcPr>
            <w:tcW w:w="718" w:type="dxa"/>
            <w:tcBorders>
              <w:top w:val="single" w:color="auto" w:sz="4" w:space="0"/>
              <w:left w:val="single" w:color="auto" w:sz="4" w:space="0"/>
              <w:bottom w:val="single" w:color="auto" w:sz="4" w:space="0"/>
              <w:right w:val="single" w:color="auto" w:sz="4" w:space="0"/>
            </w:tcBorders>
          </w:tcPr>
          <w:p w14:paraId="7ABCE9C7">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C2D1</w:t>
            </w:r>
          </w:p>
        </w:tc>
        <w:tc>
          <w:tcPr>
            <w:tcW w:w="718" w:type="dxa"/>
            <w:tcBorders>
              <w:top w:val="single" w:color="auto" w:sz="4" w:space="0"/>
              <w:left w:val="single" w:color="auto" w:sz="4" w:space="0"/>
              <w:bottom w:val="single" w:color="auto" w:sz="4" w:space="0"/>
              <w:right w:val="single" w:color="auto" w:sz="4" w:space="0"/>
            </w:tcBorders>
          </w:tcPr>
          <w:p w14:paraId="4D54E082">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C2D8</w:t>
            </w:r>
          </w:p>
        </w:tc>
        <w:tc>
          <w:tcPr>
            <w:tcW w:w="718" w:type="dxa"/>
            <w:tcBorders>
              <w:top w:val="single" w:color="auto" w:sz="4" w:space="0"/>
              <w:left w:val="single" w:color="auto" w:sz="4" w:space="0"/>
              <w:bottom w:val="single" w:color="auto" w:sz="4" w:space="0"/>
              <w:right w:val="single" w:color="auto" w:sz="4" w:space="0"/>
            </w:tcBorders>
          </w:tcPr>
          <w:p w14:paraId="17C91917">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C3D1</w:t>
            </w:r>
          </w:p>
        </w:tc>
        <w:tc>
          <w:tcPr>
            <w:tcW w:w="718" w:type="dxa"/>
            <w:tcBorders>
              <w:top w:val="single" w:color="auto" w:sz="4" w:space="0"/>
              <w:left w:val="single" w:color="auto" w:sz="4" w:space="0"/>
              <w:bottom w:val="single" w:color="auto" w:sz="4" w:space="0"/>
              <w:right w:val="single" w:color="auto" w:sz="4" w:space="0"/>
            </w:tcBorders>
          </w:tcPr>
          <w:p w14:paraId="41B2D2E3">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C3D8</w:t>
            </w:r>
          </w:p>
        </w:tc>
        <w:tc>
          <w:tcPr>
            <w:tcW w:w="718" w:type="dxa"/>
            <w:tcBorders>
              <w:top w:val="single" w:color="auto" w:sz="4" w:space="0"/>
              <w:left w:val="single" w:color="auto" w:sz="4" w:space="0"/>
              <w:bottom w:val="single" w:color="auto" w:sz="4" w:space="0"/>
              <w:right w:val="single" w:color="auto" w:sz="4" w:space="0"/>
            </w:tcBorders>
          </w:tcPr>
          <w:p w14:paraId="0D6CE89E">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C4D1</w:t>
            </w:r>
          </w:p>
        </w:tc>
        <w:tc>
          <w:tcPr>
            <w:tcW w:w="718" w:type="dxa"/>
            <w:tcBorders>
              <w:top w:val="single" w:color="auto" w:sz="4" w:space="0"/>
              <w:left w:val="single" w:color="auto" w:sz="4" w:space="0"/>
              <w:bottom w:val="single" w:color="auto" w:sz="4" w:space="0"/>
              <w:right w:val="single" w:color="auto" w:sz="4" w:space="0"/>
            </w:tcBorders>
          </w:tcPr>
          <w:p w14:paraId="6306EA0F">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C4D8</w:t>
            </w:r>
          </w:p>
        </w:tc>
        <w:tc>
          <w:tcPr>
            <w:tcW w:w="718" w:type="dxa"/>
            <w:tcBorders>
              <w:top w:val="single" w:color="auto" w:sz="4" w:space="0"/>
              <w:left w:val="single" w:color="auto" w:sz="4" w:space="0"/>
              <w:bottom w:val="single" w:color="auto" w:sz="4" w:space="0"/>
              <w:right w:val="single" w:color="auto" w:sz="4" w:space="0"/>
            </w:tcBorders>
          </w:tcPr>
          <w:p w14:paraId="78E8569F">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C5D1</w:t>
            </w:r>
          </w:p>
        </w:tc>
        <w:tc>
          <w:tcPr>
            <w:tcW w:w="765" w:type="dxa"/>
            <w:tcBorders>
              <w:top w:val="single" w:color="auto" w:sz="4" w:space="0"/>
              <w:left w:val="single" w:color="auto" w:sz="4" w:space="0"/>
              <w:bottom w:val="single" w:color="auto" w:sz="4" w:space="0"/>
              <w:right w:val="single" w:color="auto" w:sz="4" w:space="0"/>
            </w:tcBorders>
          </w:tcPr>
          <w:p w14:paraId="67258C91">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C5D8</w:t>
            </w:r>
          </w:p>
        </w:tc>
        <w:tc>
          <w:tcPr>
            <w:tcW w:w="718" w:type="dxa"/>
            <w:tcBorders>
              <w:top w:val="single" w:color="auto" w:sz="4" w:space="0"/>
              <w:left w:val="single" w:color="auto" w:sz="4" w:space="0"/>
              <w:bottom w:val="single" w:color="auto" w:sz="4" w:space="0"/>
              <w:right w:val="single" w:color="auto" w:sz="4" w:space="0"/>
            </w:tcBorders>
          </w:tcPr>
          <w:p w14:paraId="05EB7787">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C6D1</w:t>
            </w:r>
          </w:p>
        </w:tc>
        <w:tc>
          <w:tcPr>
            <w:tcW w:w="718" w:type="dxa"/>
            <w:tcBorders>
              <w:top w:val="single" w:color="auto" w:sz="4" w:space="0"/>
              <w:left w:val="single" w:color="auto" w:sz="4" w:space="0"/>
              <w:bottom w:val="single" w:color="auto" w:sz="4" w:space="0"/>
              <w:right w:val="single" w:color="auto" w:sz="4" w:space="0"/>
            </w:tcBorders>
          </w:tcPr>
          <w:p w14:paraId="46D1F785">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C6D8</w:t>
            </w:r>
          </w:p>
        </w:tc>
        <w:tc>
          <w:tcPr>
            <w:tcW w:w="690" w:type="dxa"/>
            <w:tcBorders>
              <w:top w:val="single" w:color="auto" w:sz="4" w:space="0"/>
              <w:left w:val="single" w:color="auto" w:sz="4" w:space="0"/>
              <w:bottom w:val="single" w:color="auto" w:sz="4" w:space="0"/>
              <w:right w:val="single" w:color="auto" w:sz="4" w:space="0"/>
            </w:tcBorders>
          </w:tcPr>
          <w:p w14:paraId="426B58BC">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终止</w:t>
            </w:r>
          </w:p>
          <w:p w14:paraId="4DC6D69D">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治疗</w:t>
            </w:r>
          </w:p>
        </w:tc>
        <w:tc>
          <w:tcPr>
            <w:tcW w:w="709" w:type="dxa"/>
            <w:tcBorders>
              <w:top w:val="single" w:color="auto" w:sz="4" w:space="0"/>
              <w:left w:val="single" w:color="auto" w:sz="4" w:space="0"/>
              <w:bottom w:val="single" w:color="auto" w:sz="4" w:space="0"/>
              <w:right w:val="single" w:color="auto" w:sz="4" w:space="0"/>
            </w:tcBorders>
          </w:tcPr>
          <w:p w14:paraId="39AA924F">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安全性访视</w:t>
            </w:r>
          </w:p>
        </w:tc>
        <w:tc>
          <w:tcPr>
            <w:tcW w:w="701" w:type="dxa"/>
            <w:tcBorders>
              <w:top w:val="single" w:color="auto" w:sz="4" w:space="0"/>
              <w:left w:val="single" w:color="auto" w:sz="4" w:space="0"/>
              <w:bottom w:val="single" w:color="auto" w:sz="4" w:space="0"/>
              <w:right w:val="single" w:color="auto" w:sz="4" w:space="0"/>
            </w:tcBorders>
          </w:tcPr>
          <w:p w14:paraId="562E0F10">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随访1</w:t>
            </w:r>
          </w:p>
        </w:tc>
        <w:tc>
          <w:tcPr>
            <w:tcW w:w="636" w:type="dxa"/>
            <w:tcBorders>
              <w:top w:val="single" w:color="auto" w:sz="4" w:space="0"/>
              <w:left w:val="single" w:color="auto" w:sz="4" w:space="0"/>
              <w:bottom w:val="single" w:color="auto" w:sz="4" w:space="0"/>
              <w:right w:val="single" w:color="auto" w:sz="4" w:space="0"/>
            </w:tcBorders>
          </w:tcPr>
          <w:p w14:paraId="19A5B9E2">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随访2</w:t>
            </w:r>
          </w:p>
        </w:tc>
        <w:tc>
          <w:tcPr>
            <w:tcW w:w="636" w:type="dxa"/>
            <w:tcBorders>
              <w:top w:val="single" w:color="auto" w:sz="4" w:space="0"/>
              <w:left w:val="single" w:color="auto" w:sz="4" w:space="0"/>
              <w:bottom w:val="single" w:color="auto" w:sz="4" w:space="0"/>
              <w:right w:val="single" w:color="auto" w:sz="4" w:space="0"/>
            </w:tcBorders>
          </w:tcPr>
          <w:p w14:paraId="1D0F7E3E">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随访3</w:t>
            </w:r>
          </w:p>
        </w:tc>
      </w:tr>
      <w:tr w14:paraId="2025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14:paraId="7E6E42CA">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单价（元）</w:t>
            </w:r>
          </w:p>
        </w:tc>
        <w:tc>
          <w:tcPr>
            <w:tcW w:w="426" w:type="dxa"/>
            <w:tcBorders>
              <w:top w:val="single" w:color="auto" w:sz="4" w:space="0"/>
              <w:left w:val="single" w:color="auto" w:sz="4" w:space="0"/>
              <w:bottom w:val="single" w:color="auto" w:sz="4" w:space="0"/>
              <w:right w:val="single" w:color="auto" w:sz="4" w:space="0"/>
            </w:tcBorders>
          </w:tcPr>
          <w:p w14:paraId="1249A5F5">
            <w:pPr>
              <w:spacing w:line="360" w:lineRule="auto"/>
              <w:rPr>
                <w:rFonts w:eastAsiaTheme="minorEastAsia"/>
                <w:color w:val="000000" w:themeColor="text1"/>
                <w:szCs w:val="21"/>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tcPr>
          <w:p w14:paraId="3C3E740E">
            <w:pPr>
              <w:spacing w:line="360" w:lineRule="auto"/>
              <w:rPr>
                <w:rFonts w:eastAsiaTheme="minorEastAsia"/>
                <w:color w:val="000000" w:themeColor="text1"/>
                <w:szCs w:val="21"/>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tcPr>
          <w:p w14:paraId="7D02BDB0">
            <w:pPr>
              <w:spacing w:line="360" w:lineRule="auto"/>
              <w:rPr>
                <w:rFonts w:eastAsiaTheme="minorEastAsia"/>
                <w:color w:val="000000" w:themeColor="text1"/>
                <w:szCs w:val="21"/>
                <w14:textFill>
                  <w14:solidFill>
                    <w14:schemeClr w14:val="tx1"/>
                  </w14:solidFill>
                </w14:textFill>
              </w:rPr>
            </w:pPr>
          </w:p>
        </w:tc>
        <w:tc>
          <w:tcPr>
            <w:tcW w:w="823" w:type="dxa"/>
            <w:tcBorders>
              <w:top w:val="single" w:color="auto" w:sz="4" w:space="0"/>
              <w:left w:val="single" w:color="auto" w:sz="4" w:space="0"/>
              <w:bottom w:val="single" w:color="auto" w:sz="4" w:space="0"/>
              <w:right w:val="single" w:color="auto" w:sz="4" w:space="0"/>
            </w:tcBorders>
          </w:tcPr>
          <w:p w14:paraId="02A0D5EB">
            <w:pPr>
              <w:spacing w:line="360" w:lineRule="auto"/>
              <w:rPr>
                <w:rFonts w:eastAsiaTheme="minorEastAsia"/>
                <w:color w:val="000000" w:themeColor="text1"/>
                <w:szCs w:val="21"/>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tcPr>
          <w:p w14:paraId="538157B5">
            <w:pPr>
              <w:spacing w:line="360" w:lineRule="auto"/>
              <w:rPr>
                <w:rFonts w:eastAsiaTheme="minorEastAsia"/>
                <w:color w:val="000000" w:themeColor="text1"/>
                <w:szCs w:val="21"/>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tcPr>
          <w:p w14:paraId="0E38FB56">
            <w:pPr>
              <w:spacing w:line="360" w:lineRule="auto"/>
              <w:rPr>
                <w:rFonts w:eastAsiaTheme="minorEastAsia"/>
                <w:color w:val="000000" w:themeColor="text1"/>
                <w:szCs w:val="21"/>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tcPr>
          <w:p w14:paraId="009306B8">
            <w:pPr>
              <w:spacing w:line="360" w:lineRule="auto"/>
              <w:rPr>
                <w:rFonts w:eastAsiaTheme="minorEastAsia"/>
                <w:color w:val="000000" w:themeColor="text1"/>
                <w:szCs w:val="21"/>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tcPr>
          <w:p w14:paraId="59EA6A25">
            <w:pPr>
              <w:spacing w:line="360" w:lineRule="auto"/>
              <w:rPr>
                <w:rFonts w:eastAsiaTheme="minorEastAsia"/>
                <w:color w:val="000000" w:themeColor="text1"/>
                <w:szCs w:val="21"/>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tcPr>
          <w:p w14:paraId="723FE318">
            <w:pPr>
              <w:spacing w:line="360" w:lineRule="auto"/>
              <w:rPr>
                <w:rFonts w:eastAsiaTheme="minorEastAsia"/>
                <w:color w:val="000000" w:themeColor="text1"/>
                <w:szCs w:val="21"/>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tcPr>
          <w:p w14:paraId="37C27259">
            <w:pPr>
              <w:spacing w:line="360" w:lineRule="auto"/>
              <w:rPr>
                <w:rFonts w:eastAsiaTheme="minorEastAsia"/>
                <w:color w:val="000000" w:themeColor="text1"/>
                <w:szCs w:val="21"/>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tcPr>
          <w:p w14:paraId="58D59A11">
            <w:pPr>
              <w:spacing w:line="360" w:lineRule="auto"/>
              <w:rPr>
                <w:rFonts w:eastAsiaTheme="minorEastAsia"/>
                <w:color w:val="000000" w:themeColor="text1"/>
                <w:szCs w:val="21"/>
                <w14:textFill>
                  <w14:solidFill>
                    <w14:schemeClr w14:val="tx1"/>
                  </w14:solidFill>
                </w14:textFill>
              </w:rPr>
            </w:pPr>
          </w:p>
        </w:tc>
        <w:tc>
          <w:tcPr>
            <w:tcW w:w="765" w:type="dxa"/>
            <w:tcBorders>
              <w:top w:val="single" w:color="auto" w:sz="4" w:space="0"/>
              <w:left w:val="single" w:color="auto" w:sz="4" w:space="0"/>
              <w:bottom w:val="single" w:color="auto" w:sz="4" w:space="0"/>
              <w:right w:val="single" w:color="auto" w:sz="4" w:space="0"/>
            </w:tcBorders>
          </w:tcPr>
          <w:p w14:paraId="20501DBB">
            <w:pPr>
              <w:spacing w:line="360" w:lineRule="auto"/>
              <w:rPr>
                <w:rFonts w:eastAsiaTheme="minorEastAsia"/>
                <w:color w:val="000000" w:themeColor="text1"/>
                <w:szCs w:val="21"/>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tcPr>
          <w:p w14:paraId="34AF14CC">
            <w:pPr>
              <w:spacing w:line="360" w:lineRule="auto"/>
              <w:rPr>
                <w:rFonts w:eastAsiaTheme="minorEastAsia"/>
                <w:color w:val="000000" w:themeColor="text1"/>
                <w:szCs w:val="21"/>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tcPr>
          <w:p w14:paraId="48E83F44">
            <w:pPr>
              <w:spacing w:line="360" w:lineRule="auto"/>
              <w:rPr>
                <w:rFonts w:eastAsiaTheme="minorEastAsia"/>
                <w:color w:val="000000" w:themeColor="text1"/>
                <w:szCs w:val="21"/>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tcPr>
          <w:p w14:paraId="707AA3B1">
            <w:pPr>
              <w:spacing w:line="360" w:lineRule="auto"/>
              <w:rPr>
                <w:rFonts w:eastAsiaTheme="minorEastAsia"/>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1B7D92E5">
            <w:pPr>
              <w:spacing w:line="360" w:lineRule="auto"/>
              <w:rPr>
                <w:rFonts w:eastAsiaTheme="minorEastAsia"/>
                <w:color w:val="000000" w:themeColor="text1"/>
                <w:szCs w:val="21"/>
                <w14:textFill>
                  <w14:solidFill>
                    <w14:schemeClr w14:val="tx1"/>
                  </w14:solidFill>
                </w14:textFill>
              </w:rPr>
            </w:pPr>
          </w:p>
        </w:tc>
        <w:tc>
          <w:tcPr>
            <w:tcW w:w="701" w:type="dxa"/>
            <w:tcBorders>
              <w:top w:val="single" w:color="auto" w:sz="4" w:space="0"/>
              <w:left w:val="single" w:color="auto" w:sz="4" w:space="0"/>
              <w:bottom w:val="single" w:color="auto" w:sz="4" w:space="0"/>
              <w:right w:val="single" w:color="auto" w:sz="4" w:space="0"/>
            </w:tcBorders>
          </w:tcPr>
          <w:p w14:paraId="16EDF68A">
            <w:pPr>
              <w:spacing w:line="360" w:lineRule="auto"/>
              <w:rPr>
                <w:rFonts w:eastAsiaTheme="minorEastAsia"/>
                <w:color w:val="000000" w:themeColor="text1"/>
                <w:szCs w:val="21"/>
                <w14:textFill>
                  <w14:solidFill>
                    <w14:schemeClr w14:val="tx1"/>
                  </w14:solidFill>
                </w14:textFill>
              </w:rPr>
            </w:pPr>
          </w:p>
        </w:tc>
        <w:tc>
          <w:tcPr>
            <w:tcW w:w="636" w:type="dxa"/>
            <w:tcBorders>
              <w:top w:val="single" w:color="auto" w:sz="4" w:space="0"/>
              <w:left w:val="single" w:color="auto" w:sz="4" w:space="0"/>
              <w:bottom w:val="single" w:color="auto" w:sz="4" w:space="0"/>
              <w:right w:val="single" w:color="auto" w:sz="4" w:space="0"/>
            </w:tcBorders>
          </w:tcPr>
          <w:p w14:paraId="565E2943">
            <w:pPr>
              <w:spacing w:line="360" w:lineRule="auto"/>
              <w:rPr>
                <w:rFonts w:eastAsiaTheme="minorEastAsia"/>
                <w:color w:val="000000" w:themeColor="text1"/>
                <w:szCs w:val="21"/>
                <w14:textFill>
                  <w14:solidFill>
                    <w14:schemeClr w14:val="tx1"/>
                  </w14:solidFill>
                </w14:textFill>
              </w:rPr>
            </w:pPr>
          </w:p>
        </w:tc>
        <w:tc>
          <w:tcPr>
            <w:tcW w:w="636" w:type="dxa"/>
            <w:tcBorders>
              <w:top w:val="single" w:color="auto" w:sz="4" w:space="0"/>
              <w:left w:val="single" w:color="auto" w:sz="4" w:space="0"/>
              <w:bottom w:val="single" w:color="auto" w:sz="4" w:space="0"/>
              <w:right w:val="single" w:color="auto" w:sz="4" w:space="0"/>
            </w:tcBorders>
          </w:tcPr>
          <w:p w14:paraId="099F00AC">
            <w:pPr>
              <w:spacing w:line="360" w:lineRule="auto"/>
              <w:rPr>
                <w:rFonts w:eastAsiaTheme="minorEastAsia"/>
                <w:color w:val="000000" w:themeColor="text1"/>
                <w:szCs w:val="21"/>
                <w14:textFill>
                  <w14:solidFill>
                    <w14:schemeClr w14:val="tx1"/>
                  </w14:solidFill>
                </w14:textFill>
              </w:rPr>
            </w:pPr>
          </w:p>
        </w:tc>
      </w:tr>
      <w:tr w14:paraId="079F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7CA97032">
            <w:pPr>
              <w:spacing w:line="360" w:lineRule="auto"/>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每例</w:t>
            </w:r>
          </w:p>
          <w:p w14:paraId="1D66D8E7">
            <w:pPr>
              <w:spacing w:line="360" w:lineRule="auto"/>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小结</w:t>
            </w:r>
          </w:p>
        </w:tc>
        <w:tc>
          <w:tcPr>
            <w:tcW w:w="13284" w:type="dxa"/>
            <w:gridSpan w:val="19"/>
            <w:tcBorders>
              <w:top w:val="single" w:color="auto" w:sz="4" w:space="0"/>
              <w:left w:val="single" w:color="auto" w:sz="4" w:space="0"/>
              <w:bottom w:val="single" w:color="auto" w:sz="4" w:space="0"/>
              <w:right w:val="single" w:color="auto" w:sz="4" w:space="0"/>
            </w:tcBorders>
            <w:vAlign w:val="center"/>
          </w:tcPr>
          <w:p w14:paraId="1DB133C2">
            <w:pPr>
              <w:spacing w:line="360" w:lineRule="auto"/>
              <w:jc w:val="left"/>
              <w:rPr>
                <w:rFonts w:eastAsiaTheme="minorEastAsia"/>
                <w:color w:val="000000" w:themeColor="text1"/>
                <w:szCs w:val="21"/>
                <w14:textFill>
                  <w14:solidFill>
                    <w14:schemeClr w14:val="tx1"/>
                  </w14:solidFill>
                </w14:textFill>
              </w:rPr>
            </w:pPr>
          </w:p>
        </w:tc>
      </w:tr>
      <w:tr w14:paraId="4AF2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14:paraId="4FE01939">
            <w:pPr>
              <w:spacing w:line="360" w:lineRule="auto"/>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例数</w:t>
            </w:r>
          </w:p>
        </w:tc>
        <w:tc>
          <w:tcPr>
            <w:tcW w:w="13284" w:type="dxa"/>
            <w:gridSpan w:val="19"/>
            <w:tcBorders>
              <w:top w:val="single" w:color="auto" w:sz="4" w:space="0"/>
              <w:left w:val="single" w:color="auto" w:sz="4" w:space="0"/>
              <w:bottom w:val="single" w:color="auto" w:sz="4" w:space="0"/>
              <w:right w:val="single" w:color="auto" w:sz="4" w:space="0"/>
            </w:tcBorders>
          </w:tcPr>
          <w:p w14:paraId="0388C06B">
            <w:pPr>
              <w:spacing w:line="360" w:lineRule="auto"/>
              <w:jc w:val="left"/>
              <w:rPr>
                <w:rFonts w:eastAsiaTheme="minorEastAsia"/>
                <w:color w:val="000000" w:themeColor="text1"/>
                <w:szCs w:val="21"/>
                <w14:textFill>
                  <w14:solidFill>
                    <w14:schemeClr w14:val="tx1"/>
                  </w14:solidFill>
                </w14:textFill>
              </w:rPr>
            </w:pPr>
          </w:p>
        </w:tc>
      </w:tr>
      <w:tr w14:paraId="0F0B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14:paraId="01AB17C7">
            <w:pPr>
              <w:spacing w:line="360" w:lineRule="auto"/>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合计</w:t>
            </w:r>
          </w:p>
        </w:tc>
        <w:tc>
          <w:tcPr>
            <w:tcW w:w="13284" w:type="dxa"/>
            <w:gridSpan w:val="19"/>
            <w:tcBorders>
              <w:top w:val="single" w:color="auto" w:sz="4" w:space="0"/>
              <w:left w:val="single" w:color="auto" w:sz="4" w:space="0"/>
              <w:bottom w:val="single" w:color="auto" w:sz="4" w:space="0"/>
              <w:right w:val="single" w:color="auto" w:sz="4" w:space="0"/>
            </w:tcBorders>
          </w:tcPr>
          <w:p w14:paraId="1A2B0D40">
            <w:pPr>
              <w:spacing w:line="360" w:lineRule="auto"/>
              <w:jc w:val="left"/>
              <w:rPr>
                <w:rFonts w:eastAsiaTheme="minorEastAsia"/>
                <w:color w:val="000000" w:themeColor="text1"/>
                <w:szCs w:val="21"/>
                <w14:textFill>
                  <w14:solidFill>
                    <w14:schemeClr w14:val="tx1"/>
                  </w14:solidFill>
                </w14:textFill>
              </w:rPr>
            </w:pPr>
          </w:p>
        </w:tc>
      </w:tr>
    </w:tbl>
    <w:p w14:paraId="7597BC1D">
      <w:pPr>
        <w:widowControl/>
        <w:jc w:val="left"/>
        <w:rPr>
          <w:rFonts w:ascii="宋体" w:hAnsi="宋体" w:cs="宋体"/>
          <w:kern w:val="0"/>
          <w:sz w:val="24"/>
        </w:rPr>
      </w:pPr>
      <w:r>
        <w:rPr>
          <w:rFonts w:hint="eastAsia" w:ascii="宋体" w:hAnsi="宋体" w:cs="宋体"/>
          <w:color w:val="000000"/>
          <w:kern w:val="0"/>
          <w:szCs w:val="21"/>
        </w:rPr>
        <w:t xml:space="preserve">注：1、按照每例受试者完成6个治疗周期、按访视估算，如果受试者在用药期间发生脱落，则按实际用药周期支付观察费； </w:t>
      </w:r>
    </w:p>
    <w:p w14:paraId="5ECAEC1B">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2、筛选失败病例支付筛选阶段观察费每例</w:t>
      </w:r>
      <w:r>
        <w:rPr>
          <w:rFonts w:hint="eastAsia" w:ascii="宋体" w:hAnsi="宋体" w:cs="宋体"/>
          <w:color w:val="000000"/>
          <w:kern w:val="0"/>
          <w:szCs w:val="21"/>
          <w:lang w:val="en-US" w:eastAsia="zh-CN"/>
        </w:rPr>
        <w:t>xxx</w:t>
      </w:r>
      <w:r>
        <w:rPr>
          <w:rFonts w:hint="eastAsia" w:ascii="宋体" w:hAnsi="宋体" w:cs="宋体"/>
          <w:color w:val="000000"/>
          <w:kern w:val="0"/>
          <w:szCs w:val="21"/>
        </w:rPr>
        <w:t>元整</w:t>
      </w:r>
    </w:p>
    <w:p w14:paraId="675F1BEA">
      <w:pPr>
        <w:widowControl/>
        <w:jc w:val="left"/>
        <w:rPr>
          <w:rFonts w:ascii="宋体" w:hAnsi="宋体" w:cs="宋体"/>
          <w:color w:val="000000"/>
          <w:kern w:val="0"/>
          <w:szCs w:val="21"/>
        </w:rPr>
      </w:pPr>
      <w:r>
        <w:rPr>
          <w:rFonts w:ascii="宋体" w:hAnsi="宋体" w:cs="宋体"/>
          <w:color w:val="000000"/>
          <w:kern w:val="0"/>
          <w:szCs w:val="21"/>
        </w:rPr>
        <w:br w:type="page"/>
      </w:r>
    </w:p>
    <w:p w14:paraId="794148A6">
      <w:pPr>
        <w:spacing w:line="360" w:lineRule="auto"/>
        <w:ind w:firstLine="420" w:firstLineChars="200"/>
        <w:rPr>
          <w:rFonts w:eastAsiaTheme="minorEastAsia"/>
          <w:color w:val="000000" w:themeColor="text1"/>
          <w:szCs w:val="21"/>
          <w14:textFill>
            <w14:solidFill>
              <w14:schemeClr w14:val="tx1"/>
            </w14:solidFill>
          </w14:textFill>
        </w:rPr>
        <w:sectPr>
          <w:pgSz w:w="16838" w:h="11906" w:orient="landscape"/>
          <w:pgMar w:top="1080" w:right="1440" w:bottom="1080" w:left="1440" w:header="851" w:footer="992" w:gutter="0"/>
          <w:cols w:space="720" w:num="1"/>
          <w:docGrid w:type="lines" w:linePitch="312" w:charSpace="0"/>
        </w:sectPr>
      </w:pPr>
    </w:p>
    <w:p w14:paraId="57D0A6C0">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附件</w:t>
      </w:r>
      <w:r>
        <w:rPr>
          <w:rFonts w:eastAsiaTheme="minorEastAsia"/>
          <w:color w:val="000000" w:themeColor="text1"/>
          <w:szCs w:val="21"/>
          <w14:textFill>
            <w14:solidFill>
              <w14:schemeClr w14:val="tx1"/>
            </w14:solidFill>
          </w14:textFill>
        </w:rPr>
        <w:t>2</w:t>
      </w:r>
      <w:r>
        <w:rPr>
          <w:rFonts w:hint="eastAsia" w:eastAsiaTheme="minorEastAsia"/>
          <w:color w:val="000000" w:themeColor="text1"/>
          <w:szCs w:val="21"/>
          <w14:textFill>
            <w14:solidFill>
              <w14:schemeClr w14:val="tx1"/>
            </w14:solidFill>
          </w14:textFill>
        </w:rPr>
        <w:t>：《受试者检查费明细》</w:t>
      </w:r>
    </w:p>
    <w:tbl>
      <w:tblPr>
        <w:tblStyle w:val="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2430"/>
        <w:gridCol w:w="2431"/>
        <w:gridCol w:w="2266"/>
      </w:tblGrid>
      <w:tr w14:paraId="0297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tcPr>
          <w:p w14:paraId="20BFB218">
            <w:pPr>
              <w:spacing w:line="360" w:lineRule="auto"/>
              <w:jc w:val="center"/>
              <w:rPr>
                <w:rFonts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检查项目</w:t>
            </w:r>
          </w:p>
        </w:tc>
        <w:tc>
          <w:tcPr>
            <w:tcW w:w="2430" w:type="dxa"/>
          </w:tcPr>
          <w:p w14:paraId="35268D1C">
            <w:pPr>
              <w:spacing w:line="360" w:lineRule="auto"/>
              <w:jc w:val="center"/>
              <w:rPr>
                <w:rFonts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单例检查费总价（元）</w:t>
            </w:r>
          </w:p>
        </w:tc>
        <w:tc>
          <w:tcPr>
            <w:tcW w:w="2431" w:type="dxa"/>
          </w:tcPr>
          <w:p w14:paraId="0938ABBB">
            <w:pPr>
              <w:spacing w:line="360" w:lineRule="auto"/>
              <w:jc w:val="center"/>
              <w:rPr>
                <w:rFonts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单价（元）</w:t>
            </w:r>
          </w:p>
        </w:tc>
        <w:tc>
          <w:tcPr>
            <w:tcW w:w="2266" w:type="dxa"/>
          </w:tcPr>
          <w:p w14:paraId="1061E466">
            <w:pPr>
              <w:spacing w:line="360" w:lineRule="auto"/>
              <w:jc w:val="center"/>
              <w:rPr>
                <w:rFonts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次数</w:t>
            </w:r>
          </w:p>
        </w:tc>
      </w:tr>
      <w:tr w14:paraId="4BFB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tcPr>
          <w:p w14:paraId="568CDAB5">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心电监护（必要时）</w:t>
            </w:r>
          </w:p>
        </w:tc>
        <w:tc>
          <w:tcPr>
            <w:tcW w:w="2430" w:type="dxa"/>
          </w:tcPr>
          <w:p w14:paraId="6B605DE8">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tcPr>
          <w:p w14:paraId="0ABD77C1">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9.4</w:t>
            </w:r>
          </w:p>
        </w:tc>
        <w:tc>
          <w:tcPr>
            <w:tcW w:w="2266" w:type="dxa"/>
          </w:tcPr>
          <w:p w14:paraId="251AFF1A">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77FA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tcPr>
          <w:p w14:paraId="40EED7EE">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血清病毒学（HBsAg、HBsAb、HBeAg、HBeAb、HBcAb）、丙肝抗体、HIV</w:t>
            </w:r>
          </w:p>
        </w:tc>
        <w:tc>
          <w:tcPr>
            <w:tcW w:w="2430" w:type="dxa"/>
          </w:tcPr>
          <w:p w14:paraId="5465D5D9">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tcPr>
          <w:p w14:paraId="40FE11B2">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467</w:t>
            </w:r>
          </w:p>
        </w:tc>
        <w:tc>
          <w:tcPr>
            <w:tcW w:w="2266" w:type="dxa"/>
          </w:tcPr>
          <w:p w14:paraId="012F52E4">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7635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1D8115EC">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HBV-DNA</w:t>
            </w:r>
          </w:p>
        </w:tc>
        <w:tc>
          <w:tcPr>
            <w:tcW w:w="2430" w:type="dxa"/>
            <w:vAlign w:val="center"/>
          </w:tcPr>
          <w:p w14:paraId="385EC571">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36D75801">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110</w:t>
            </w:r>
          </w:p>
        </w:tc>
        <w:tc>
          <w:tcPr>
            <w:tcW w:w="2266" w:type="dxa"/>
            <w:vAlign w:val="center"/>
          </w:tcPr>
          <w:p w14:paraId="5E3B7E82">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3DA8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15240AC9">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HCV-RNA</w:t>
            </w:r>
          </w:p>
        </w:tc>
        <w:tc>
          <w:tcPr>
            <w:tcW w:w="2430" w:type="dxa"/>
            <w:vAlign w:val="center"/>
          </w:tcPr>
          <w:p w14:paraId="62BE843D">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257640D0">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154</w:t>
            </w:r>
          </w:p>
        </w:tc>
        <w:tc>
          <w:tcPr>
            <w:tcW w:w="2266" w:type="dxa"/>
            <w:vAlign w:val="center"/>
          </w:tcPr>
          <w:p w14:paraId="2E8B1792">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34C3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11608A52">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心电图</w:t>
            </w:r>
          </w:p>
        </w:tc>
        <w:tc>
          <w:tcPr>
            <w:tcW w:w="2430" w:type="dxa"/>
            <w:vAlign w:val="center"/>
          </w:tcPr>
          <w:p w14:paraId="603CD1C7">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5EC62EEB">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25.5</w:t>
            </w:r>
          </w:p>
        </w:tc>
        <w:tc>
          <w:tcPr>
            <w:tcW w:w="2266" w:type="dxa"/>
            <w:vAlign w:val="center"/>
          </w:tcPr>
          <w:p w14:paraId="5C5D34F4">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195A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7DE3CD3C">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超声心电图</w:t>
            </w:r>
          </w:p>
        </w:tc>
        <w:tc>
          <w:tcPr>
            <w:tcW w:w="2430" w:type="dxa"/>
            <w:vAlign w:val="center"/>
          </w:tcPr>
          <w:p w14:paraId="0CE8B4BF">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2738D26D">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143</w:t>
            </w:r>
          </w:p>
        </w:tc>
        <w:tc>
          <w:tcPr>
            <w:tcW w:w="2266" w:type="dxa"/>
            <w:vAlign w:val="center"/>
          </w:tcPr>
          <w:p w14:paraId="76CCD4EC">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4654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60FE8B03">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血常规</w:t>
            </w:r>
          </w:p>
        </w:tc>
        <w:tc>
          <w:tcPr>
            <w:tcW w:w="2430" w:type="dxa"/>
            <w:vAlign w:val="center"/>
          </w:tcPr>
          <w:p w14:paraId="44502F03">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7FE2F6D8">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25.3</w:t>
            </w:r>
          </w:p>
        </w:tc>
        <w:tc>
          <w:tcPr>
            <w:tcW w:w="2266" w:type="dxa"/>
            <w:vAlign w:val="center"/>
          </w:tcPr>
          <w:p w14:paraId="1A6A9943">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7215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58494283">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血生化</w:t>
            </w:r>
          </w:p>
        </w:tc>
        <w:tc>
          <w:tcPr>
            <w:tcW w:w="2430" w:type="dxa"/>
            <w:vAlign w:val="center"/>
          </w:tcPr>
          <w:p w14:paraId="5B1DEFA9">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1BC9FD90">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232.3</w:t>
            </w:r>
          </w:p>
        </w:tc>
        <w:tc>
          <w:tcPr>
            <w:tcW w:w="2266" w:type="dxa"/>
            <w:vAlign w:val="center"/>
          </w:tcPr>
          <w:p w14:paraId="480BC19C">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7269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44358BFA">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凝血功能</w:t>
            </w:r>
          </w:p>
        </w:tc>
        <w:tc>
          <w:tcPr>
            <w:tcW w:w="2430" w:type="dxa"/>
            <w:vAlign w:val="center"/>
          </w:tcPr>
          <w:p w14:paraId="32D201E7">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6F79B5E7">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134.8</w:t>
            </w:r>
          </w:p>
        </w:tc>
        <w:tc>
          <w:tcPr>
            <w:tcW w:w="2266" w:type="dxa"/>
            <w:vAlign w:val="center"/>
          </w:tcPr>
          <w:p w14:paraId="29CE419B">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61E2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713045E7">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心肌损伤物</w:t>
            </w:r>
          </w:p>
        </w:tc>
        <w:tc>
          <w:tcPr>
            <w:tcW w:w="2430" w:type="dxa"/>
            <w:vAlign w:val="center"/>
          </w:tcPr>
          <w:p w14:paraId="16218169">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500D5147">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464</w:t>
            </w:r>
          </w:p>
        </w:tc>
        <w:tc>
          <w:tcPr>
            <w:tcW w:w="2266" w:type="dxa"/>
            <w:vAlign w:val="center"/>
          </w:tcPr>
          <w:p w14:paraId="5B6E8074">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68A6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31B7A855">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尿常规</w:t>
            </w:r>
          </w:p>
        </w:tc>
        <w:tc>
          <w:tcPr>
            <w:tcW w:w="2430" w:type="dxa"/>
            <w:vAlign w:val="center"/>
          </w:tcPr>
          <w:p w14:paraId="01C3E480">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55945455">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27.4</w:t>
            </w:r>
          </w:p>
        </w:tc>
        <w:tc>
          <w:tcPr>
            <w:tcW w:w="2266" w:type="dxa"/>
            <w:vAlign w:val="center"/>
          </w:tcPr>
          <w:p w14:paraId="45A8060B">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263B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654E9E6D">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大便常规+隐血</w:t>
            </w:r>
          </w:p>
        </w:tc>
        <w:tc>
          <w:tcPr>
            <w:tcW w:w="2430" w:type="dxa"/>
            <w:vAlign w:val="center"/>
          </w:tcPr>
          <w:p w14:paraId="4E7E7D83">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70CA5099">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22</w:t>
            </w:r>
          </w:p>
        </w:tc>
        <w:tc>
          <w:tcPr>
            <w:tcW w:w="2266" w:type="dxa"/>
            <w:vAlign w:val="center"/>
          </w:tcPr>
          <w:p w14:paraId="4C726C3E">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2EAE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68B87874">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血妊娠</w:t>
            </w:r>
          </w:p>
        </w:tc>
        <w:tc>
          <w:tcPr>
            <w:tcW w:w="2430" w:type="dxa"/>
            <w:vAlign w:val="center"/>
          </w:tcPr>
          <w:p w14:paraId="5AFE17F6">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5290D8CF">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51</w:t>
            </w:r>
          </w:p>
        </w:tc>
        <w:tc>
          <w:tcPr>
            <w:tcW w:w="2266" w:type="dxa"/>
            <w:vAlign w:val="center"/>
          </w:tcPr>
          <w:p w14:paraId="32EC4B2F">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5E63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05508DEB">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颅脑MRI平扫+增强</w:t>
            </w:r>
          </w:p>
        </w:tc>
        <w:tc>
          <w:tcPr>
            <w:tcW w:w="2430" w:type="dxa"/>
            <w:vAlign w:val="center"/>
          </w:tcPr>
          <w:p w14:paraId="5C244C6C">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1C38B04D">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914.28</w:t>
            </w:r>
          </w:p>
        </w:tc>
        <w:tc>
          <w:tcPr>
            <w:tcW w:w="2266" w:type="dxa"/>
          </w:tcPr>
          <w:p w14:paraId="254D7CF1">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587C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2F092EE4">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颈部CT平扫+增强</w:t>
            </w:r>
          </w:p>
        </w:tc>
        <w:tc>
          <w:tcPr>
            <w:tcW w:w="2430" w:type="dxa"/>
            <w:vAlign w:val="center"/>
          </w:tcPr>
          <w:p w14:paraId="281C22DA">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5A2F201F">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774</w:t>
            </w:r>
          </w:p>
        </w:tc>
        <w:tc>
          <w:tcPr>
            <w:tcW w:w="2266" w:type="dxa"/>
          </w:tcPr>
          <w:p w14:paraId="6944C1B5">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76F7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tcPr>
          <w:p w14:paraId="10AC00A3">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胸部CT平扫+增强</w:t>
            </w:r>
          </w:p>
          <w:p w14:paraId="027ABC13">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全腹部CT平扫+增强（包括盆腔）</w:t>
            </w:r>
          </w:p>
        </w:tc>
        <w:tc>
          <w:tcPr>
            <w:tcW w:w="2430" w:type="dxa"/>
          </w:tcPr>
          <w:p w14:paraId="203CE212">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tcPr>
          <w:p w14:paraId="2CE22FBB">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2568</w:t>
            </w:r>
          </w:p>
        </w:tc>
        <w:tc>
          <w:tcPr>
            <w:tcW w:w="2266" w:type="dxa"/>
          </w:tcPr>
          <w:p w14:paraId="3D4A233C">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04E5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221310D8">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全身骨核素扫描</w:t>
            </w:r>
          </w:p>
        </w:tc>
        <w:tc>
          <w:tcPr>
            <w:tcW w:w="2430" w:type="dxa"/>
            <w:vAlign w:val="center"/>
          </w:tcPr>
          <w:p w14:paraId="2F56B509">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13A7EEE2">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901</w:t>
            </w:r>
          </w:p>
        </w:tc>
        <w:tc>
          <w:tcPr>
            <w:tcW w:w="2266" w:type="dxa"/>
            <w:vAlign w:val="center"/>
          </w:tcPr>
          <w:p w14:paraId="60F8BCA2">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6E8B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3DEEF222">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采血耗材费（采血针0.26元，采血管 0.85 元，处置费6.6元）</w:t>
            </w:r>
          </w:p>
        </w:tc>
        <w:tc>
          <w:tcPr>
            <w:tcW w:w="2430" w:type="dxa"/>
            <w:vAlign w:val="center"/>
          </w:tcPr>
          <w:p w14:paraId="6CC59CD4">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034F1B27">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7.71</w:t>
            </w:r>
          </w:p>
        </w:tc>
        <w:tc>
          <w:tcPr>
            <w:tcW w:w="2266" w:type="dxa"/>
            <w:vAlign w:val="center"/>
          </w:tcPr>
          <w:p w14:paraId="11540954">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303D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12F9466B">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挂号费</w:t>
            </w:r>
          </w:p>
        </w:tc>
        <w:tc>
          <w:tcPr>
            <w:tcW w:w="2430" w:type="dxa"/>
            <w:vAlign w:val="center"/>
          </w:tcPr>
          <w:p w14:paraId="5971ABBC">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2247C4EB">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14.4</w:t>
            </w:r>
          </w:p>
        </w:tc>
        <w:tc>
          <w:tcPr>
            <w:tcW w:w="2266" w:type="dxa"/>
            <w:vAlign w:val="center"/>
          </w:tcPr>
          <w:p w14:paraId="09DE426C">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r w14:paraId="56B0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5F298F40">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造影剂</w:t>
            </w:r>
          </w:p>
        </w:tc>
        <w:tc>
          <w:tcPr>
            <w:tcW w:w="2430" w:type="dxa"/>
            <w:vAlign w:val="center"/>
          </w:tcPr>
          <w:p w14:paraId="0CDC5904">
            <w:pPr>
              <w:jc w:val="left"/>
              <w:rPr>
                <w:rFonts w:hint="default" w:ascii="Times New Roman" w:hAnsi="Times New Roman" w:cs="Times New Roman" w:eastAsiaTheme="minorEastAsia"/>
                <w:color w:val="000000" w:themeColor="text1"/>
                <w:szCs w:val="21"/>
                <w14:textFill>
                  <w14:solidFill>
                    <w14:schemeClr w14:val="tx1"/>
                  </w14:solidFill>
                </w14:textFill>
              </w:rPr>
            </w:pPr>
          </w:p>
        </w:tc>
        <w:tc>
          <w:tcPr>
            <w:tcW w:w="2431" w:type="dxa"/>
            <w:vAlign w:val="center"/>
          </w:tcPr>
          <w:p w14:paraId="6ECC8C97">
            <w:pPr>
              <w:jc w:val="lef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eastAsia="等线" w:cs="Times New Roman"/>
                <w:color w:val="000000"/>
                <w:sz w:val="22"/>
                <w:szCs w:val="22"/>
              </w:rPr>
              <w:t>409.56</w:t>
            </w:r>
          </w:p>
        </w:tc>
        <w:tc>
          <w:tcPr>
            <w:tcW w:w="2266" w:type="dxa"/>
            <w:vAlign w:val="center"/>
          </w:tcPr>
          <w:p w14:paraId="1C1328EA">
            <w:pPr>
              <w:jc w:val="left"/>
              <w:rPr>
                <w:rFonts w:hint="default" w:ascii="Times New Roman" w:hAnsi="Times New Roman" w:cs="Times New Roman" w:eastAsiaTheme="minorEastAsia"/>
                <w:color w:val="000000" w:themeColor="text1"/>
                <w:szCs w:val="21"/>
                <w14:textFill>
                  <w14:solidFill>
                    <w14:schemeClr w14:val="tx1"/>
                  </w14:solidFill>
                </w14:textFill>
              </w:rPr>
            </w:pPr>
          </w:p>
        </w:tc>
      </w:tr>
    </w:tbl>
    <w:p w14:paraId="03A35E9E">
      <w:pP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注：</w:t>
      </w:r>
    </w:p>
    <w:p w14:paraId="73D0A3AE">
      <w:pP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r>
        <w:rPr>
          <w:rFonts w:hint="eastAsia" w:eastAsiaTheme="minorEastAsia"/>
          <w:color w:val="000000" w:themeColor="text1"/>
          <w:szCs w:val="21"/>
          <w14:textFill>
            <w14:solidFill>
              <w14:schemeClr w14:val="tx1"/>
            </w14:solidFill>
          </w14:textFill>
        </w:rPr>
        <w:t>、按照每例受试者完成6个治疗周期估算，检查</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检验项目可能会超出附件包括项目，最终按发生的据实结算。</w:t>
      </w:r>
    </w:p>
    <w:p w14:paraId="47BAF842">
      <w:pP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2、采血费：采血针0.26元，采血管红管0.85元、黄管1.1元、紫管0.8元，静脉采血处置费6.6元，据实结算。</w:t>
      </w:r>
    </w:p>
    <w:p w14:paraId="3C233B49">
      <w:pP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3、造影剂：MRI：扎特酸葡胺注射液181元，据实结算；</w:t>
      </w:r>
    </w:p>
    <w:p w14:paraId="04E2B43E">
      <w:pP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CT：碘佛醇注射液114.28元，碘海醇注射液105元，两种造影剂交换使用，碘佛醇注射液一般每次下2瓶，据实结算。</w:t>
      </w:r>
    </w:p>
    <w:p w14:paraId="4B844C96">
      <w:pPr>
        <w:widowControl/>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br w:type="page"/>
      </w:r>
    </w:p>
    <w:p w14:paraId="61113BE5">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附件3：《辅助观察费明细》</w:t>
      </w:r>
    </w:p>
    <w:tbl>
      <w:tblPr>
        <w:tblStyle w:val="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1"/>
        <w:gridCol w:w="3253"/>
        <w:gridCol w:w="3242"/>
      </w:tblGrid>
      <w:tr w14:paraId="28EC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241" w:type="dxa"/>
          </w:tcPr>
          <w:p w14:paraId="5E4B99FF">
            <w:pPr>
              <w:rPr>
                <w:rFonts w:hint="eastAsia"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项目</w:t>
            </w:r>
          </w:p>
        </w:tc>
        <w:tc>
          <w:tcPr>
            <w:tcW w:w="3253" w:type="dxa"/>
          </w:tcPr>
          <w:p w14:paraId="2E9FB43F">
            <w:pPr>
              <w:rPr>
                <w:rFonts w:hint="eastAsia"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单价（元）</w:t>
            </w:r>
          </w:p>
        </w:tc>
        <w:tc>
          <w:tcPr>
            <w:tcW w:w="3242" w:type="dxa"/>
          </w:tcPr>
          <w:p w14:paraId="350A3859">
            <w:pPr>
              <w:rPr>
                <w:rFonts w:hint="eastAsia"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次数</w:t>
            </w:r>
          </w:p>
        </w:tc>
      </w:tr>
      <w:tr w14:paraId="725A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41" w:type="dxa"/>
          </w:tcPr>
          <w:p w14:paraId="56F14760">
            <w:pPr>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肿瘤评估费</w:t>
            </w:r>
          </w:p>
        </w:tc>
        <w:tc>
          <w:tcPr>
            <w:tcW w:w="3253" w:type="dxa"/>
          </w:tcPr>
          <w:p w14:paraId="5843993F">
            <w:pPr>
              <w:rPr>
                <w:rFonts w:hint="eastAsia" w:eastAsiaTheme="minorEastAsia"/>
                <w:color w:val="000000" w:themeColor="text1"/>
                <w:szCs w:val="21"/>
                <w14:textFill>
                  <w14:solidFill>
                    <w14:schemeClr w14:val="tx1"/>
                  </w14:solidFill>
                </w14:textFill>
              </w:rPr>
            </w:pPr>
          </w:p>
        </w:tc>
        <w:tc>
          <w:tcPr>
            <w:tcW w:w="3242" w:type="dxa"/>
          </w:tcPr>
          <w:p w14:paraId="5C91F851">
            <w:pPr>
              <w:rPr>
                <w:rFonts w:hint="eastAsia" w:eastAsiaTheme="minorEastAsia"/>
                <w:color w:val="000000" w:themeColor="text1"/>
                <w:szCs w:val="21"/>
                <w14:textFill>
                  <w14:solidFill>
                    <w14:schemeClr w14:val="tx1"/>
                  </w14:solidFill>
                </w14:textFill>
              </w:rPr>
            </w:pPr>
          </w:p>
        </w:tc>
      </w:tr>
      <w:tr w14:paraId="6464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41" w:type="dxa"/>
          </w:tcPr>
          <w:p w14:paraId="62599230">
            <w:pPr>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护士采血费</w:t>
            </w:r>
          </w:p>
        </w:tc>
        <w:tc>
          <w:tcPr>
            <w:tcW w:w="3253" w:type="dxa"/>
          </w:tcPr>
          <w:p w14:paraId="186ADE67">
            <w:pPr>
              <w:rPr>
                <w:rFonts w:hint="eastAsia" w:eastAsiaTheme="minorEastAsia"/>
                <w:color w:val="000000" w:themeColor="text1"/>
                <w:szCs w:val="21"/>
                <w14:textFill>
                  <w14:solidFill>
                    <w14:schemeClr w14:val="tx1"/>
                  </w14:solidFill>
                </w14:textFill>
              </w:rPr>
            </w:pPr>
          </w:p>
        </w:tc>
        <w:tc>
          <w:tcPr>
            <w:tcW w:w="3242" w:type="dxa"/>
          </w:tcPr>
          <w:p w14:paraId="4EEEBE6C">
            <w:pPr>
              <w:rPr>
                <w:rFonts w:hint="eastAsia" w:eastAsiaTheme="minorEastAsia"/>
                <w:color w:val="000000" w:themeColor="text1"/>
                <w:szCs w:val="21"/>
                <w14:textFill>
                  <w14:solidFill>
                    <w14:schemeClr w14:val="tx1"/>
                  </w14:solidFill>
                </w14:textFill>
              </w:rPr>
            </w:pPr>
          </w:p>
        </w:tc>
      </w:tr>
      <w:tr w14:paraId="0D80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241" w:type="dxa"/>
          </w:tcPr>
          <w:p w14:paraId="30B71542">
            <w:pPr>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药物配置费</w:t>
            </w:r>
          </w:p>
        </w:tc>
        <w:tc>
          <w:tcPr>
            <w:tcW w:w="3253" w:type="dxa"/>
          </w:tcPr>
          <w:p w14:paraId="78C9FC49">
            <w:pPr>
              <w:rPr>
                <w:rFonts w:hint="eastAsia" w:eastAsiaTheme="minorEastAsia"/>
                <w:color w:val="000000" w:themeColor="text1"/>
                <w:szCs w:val="21"/>
                <w14:textFill>
                  <w14:solidFill>
                    <w14:schemeClr w14:val="tx1"/>
                  </w14:solidFill>
                </w14:textFill>
              </w:rPr>
            </w:pPr>
          </w:p>
        </w:tc>
        <w:tc>
          <w:tcPr>
            <w:tcW w:w="3242" w:type="dxa"/>
          </w:tcPr>
          <w:p w14:paraId="1643C776">
            <w:pPr>
              <w:rPr>
                <w:rFonts w:hint="eastAsia" w:eastAsiaTheme="minorEastAsia"/>
                <w:color w:val="000000" w:themeColor="text1"/>
                <w:szCs w:val="21"/>
                <w14:textFill>
                  <w14:solidFill>
                    <w14:schemeClr w14:val="tx1"/>
                  </w14:solidFill>
                </w14:textFill>
              </w:rPr>
            </w:pPr>
          </w:p>
        </w:tc>
      </w:tr>
    </w:tbl>
    <w:p w14:paraId="7AC97DF6">
      <w:pPr>
        <w:rPr>
          <w:rFonts w:eastAsiaTheme="minorEastAsia"/>
          <w:color w:val="000000" w:themeColor="text1"/>
          <w:szCs w:val="21"/>
          <w14:textFill>
            <w14:solidFill>
              <w14:schemeClr w14:val="tx1"/>
            </w14:solidFill>
          </w14:textFill>
        </w:rPr>
      </w:pPr>
    </w:p>
    <w:p w14:paraId="32F3944F">
      <w:pPr>
        <w:rPr>
          <w:rFonts w:eastAsiaTheme="minorEastAsia"/>
          <w:color w:val="000000" w:themeColor="text1"/>
          <w:szCs w:val="21"/>
          <w14:textFill>
            <w14:solidFill>
              <w14:schemeClr w14:val="tx1"/>
            </w14:solidFill>
          </w14:textFill>
        </w:rPr>
      </w:pPr>
    </w:p>
    <w:p w14:paraId="233AEEFD">
      <w:pPr>
        <w:rPr>
          <w:rFonts w:eastAsiaTheme="minorEastAsia"/>
          <w:color w:val="000000" w:themeColor="text1"/>
          <w:szCs w:val="21"/>
          <w14:textFill>
            <w14:solidFill>
              <w14:schemeClr w14:val="tx1"/>
            </w14:solidFill>
          </w14:textFill>
        </w:rPr>
      </w:pPr>
    </w:p>
    <w:p w14:paraId="6DCD751C">
      <w:pPr>
        <w:rPr>
          <w:rFonts w:eastAsiaTheme="minorEastAsia"/>
          <w:color w:val="000000" w:themeColor="text1"/>
          <w:szCs w:val="21"/>
          <w14:textFill>
            <w14:solidFill>
              <w14:schemeClr w14:val="tx1"/>
            </w14:solidFill>
          </w14:textFill>
        </w:rPr>
      </w:pPr>
    </w:p>
    <w:p w14:paraId="0446B99A">
      <w:pPr>
        <w:rPr>
          <w:rFonts w:eastAsiaTheme="minorEastAsia"/>
          <w:color w:val="000000" w:themeColor="text1"/>
          <w:szCs w:val="21"/>
          <w14:textFill>
            <w14:solidFill>
              <w14:schemeClr w14:val="tx1"/>
            </w14:solidFill>
          </w14:textFill>
        </w:rPr>
      </w:pPr>
    </w:p>
    <w:p w14:paraId="1A449C3C">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附件4：《受试者补偿明细》</w:t>
      </w:r>
    </w:p>
    <w:tbl>
      <w:tblPr>
        <w:tblStyle w:val="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3251"/>
        <w:gridCol w:w="3239"/>
      </w:tblGrid>
      <w:tr w14:paraId="4B2E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246" w:type="dxa"/>
          </w:tcPr>
          <w:p w14:paraId="72826E0E">
            <w:pPr>
              <w:rPr>
                <w:rFonts w:hint="eastAsia"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项目</w:t>
            </w:r>
          </w:p>
        </w:tc>
        <w:tc>
          <w:tcPr>
            <w:tcW w:w="3251" w:type="dxa"/>
          </w:tcPr>
          <w:p w14:paraId="43FC9DFA">
            <w:pPr>
              <w:rPr>
                <w:rFonts w:hint="eastAsia"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单价（元）</w:t>
            </w:r>
          </w:p>
        </w:tc>
        <w:tc>
          <w:tcPr>
            <w:tcW w:w="3239" w:type="dxa"/>
          </w:tcPr>
          <w:p w14:paraId="6772EBCE">
            <w:pPr>
              <w:rPr>
                <w:rFonts w:hint="eastAsia"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次数</w:t>
            </w:r>
          </w:p>
        </w:tc>
      </w:tr>
      <w:tr w14:paraId="003A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46" w:type="dxa"/>
          </w:tcPr>
          <w:p w14:paraId="508876B9">
            <w:pPr>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PK采血补偿</w:t>
            </w:r>
          </w:p>
        </w:tc>
        <w:tc>
          <w:tcPr>
            <w:tcW w:w="3251" w:type="dxa"/>
          </w:tcPr>
          <w:p w14:paraId="3BAEB647">
            <w:pPr>
              <w:rPr>
                <w:rFonts w:hint="eastAsia" w:eastAsiaTheme="minorEastAsia"/>
                <w:color w:val="000000" w:themeColor="text1"/>
                <w:szCs w:val="21"/>
                <w14:textFill>
                  <w14:solidFill>
                    <w14:schemeClr w14:val="tx1"/>
                  </w14:solidFill>
                </w14:textFill>
              </w:rPr>
            </w:pPr>
          </w:p>
        </w:tc>
        <w:tc>
          <w:tcPr>
            <w:tcW w:w="3239" w:type="dxa"/>
          </w:tcPr>
          <w:p w14:paraId="15F1D231">
            <w:pPr>
              <w:rPr>
                <w:rFonts w:hint="eastAsia" w:eastAsiaTheme="minorEastAsia"/>
                <w:color w:val="000000" w:themeColor="text1"/>
                <w:szCs w:val="21"/>
                <w14:textFill>
                  <w14:solidFill>
                    <w14:schemeClr w14:val="tx1"/>
                  </w14:solidFill>
                </w14:textFill>
              </w:rPr>
            </w:pPr>
          </w:p>
        </w:tc>
      </w:tr>
      <w:tr w14:paraId="4D68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46" w:type="dxa"/>
          </w:tcPr>
          <w:p w14:paraId="77DE3838">
            <w:pPr>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ADA采血补偿</w:t>
            </w:r>
          </w:p>
        </w:tc>
        <w:tc>
          <w:tcPr>
            <w:tcW w:w="3251" w:type="dxa"/>
          </w:tcPr>
          <w:p w14:paraId="73EA72BB">
            <w:pPr>
              <w:rPr>
                <w:rFonts w:hint="eastAsia" w:eastAsiaTheme="minorEastAsia"/>
                <w:color w:val="000000" w:themeColor="text1"/>
                <w:szCs w:val="21"/>
                <w14:textFill>
                  <w14:solidFill>
                    <w14:schemeClr w14:val="tx1"/>
                  </w14:solidFill>
                </w14:textFill>
              </w:rPr>
            </w:pPr>
          </w:p>
        </w:tc>
        <w:tc>
          <w:tcPr>
            <w:tcW w:w="3239" w:type="dxa"/>
          </w:tcPr>
          <w:p w14:paraId="7D42BA76">
            <w:pPr>
              <w:rPr>
                <w:rFonts w:hint="eastAsia" w:eastAsiaTheme="minorEastAsia"/>
                <w:color w:val="000000" w:themeColor="text1"/>
                <w:szCs w:val="21"/>
                <w14:textFill>
                  <w14:solidFill>
                    <w14:schemeClr w14:val="tx1"/>
                  </w14:solidFill>
                </w14:textFill>
              </w:rPr>
            </w:pPr>
          </w:p>
        </w:tc>
      </w:tr>
      <w:tr w14:paraId="7BC9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246" w:type="dxa"/>
          </w:tcPr>
          <w:p w14:paraId="663620F4">
            <w:pPr>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交通补偿</w:t>
            </w:r>
          </w:p>
        </w:tc>
        <w:tc>
          <w:tcPr>
            <w:tcW w:w="3251" w:type="dxa"/>
          </w:tcPr>
          <w:p w14:paraId="11ADA305">
            <w:pPr>
              <w:rPr>
                <w:rFonts w:hint="eastAsia" w:eastAsiaTheme="minorEastAsia"/>
                <w:color w:val="000000" w:themeColor="text1"/>
                <w:szCs w:val="21"/>
                <w14:textFill>
                  <w14:solidFill>
                    <w14:schemeClr w14:val="tx1"/>
                  </w14:solidFill>
                </w14:textFill>
              </w:rPr>
            </w:pPr>
          </w:p>
        </w:tc>
        <w:tc>
          <w:tcPr>
            <w:tcW w:w="3239" w:type="dxa"/>
          </w:tcPr>
          <w:p w14:paraId="33FEAA30">
            <w:pPr>
              <w:rPr>
                <w:rFonts w:hint="eastAsia" w:eastAsiaTheme="minorEastAsia"/>
                <w:color w:val="000000" w:themeColor="text1"/>
                <w:szCs w:val="21"/>
                <w14:textFill>
                  <w14:solidFill>
                    <w14:schemeClr w14:val="tx1"/>
                  </w14:solidFill>
                </w14:textFill>
              </w:rPr>
            </w:pPr>
          </w:p>
        </w:tc>
      </w:tr>
    </w:tbl>
    <w:p w14:paraId="5017EA37">
      <w:pPr>
        <w:rPr>
          <w:rFonts w:hint="eastAsia" w:eastAsiaTheme="minorEastAsia"/>
          <w:color w:val="000000" w:themeColor="text1"/>
          <w:szCs w:val="21"/>
          <w14:textFill>
            <w14:solidFill>
              <w14:schemeClr w14:val="tx1"/>
            </w14:solidFill>
          </w14:textFill>
        </w:rPr>
      </w:pPr>
      <w:bookmarkStart w:id="3" w:name="_GoBack"/>
      <w:bookmarkEnd w:id="3"/>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A144B">
    <w:pPr>
      <w:pStyle w:val="5"/>
      <w:jc w:val="center"/>
    </w:pPr>
    <w:r>
      <w:rPr>
        <w:lang w:val="zh-CN"/>
      </w:rPr>
      <w:t xml:space="preserve"> </w:t>
    </w:r>
    <w:r>
      <w:rPr>
        <w:b/>
      </w:rPr>
      <w:fldChar w:fldCharType="begin"/>
    </w:r>
    <w:r>
      <w:rPr>
        <w:b/>
      </w:rPr>
      <w:instrText xml:space="preserve">PAGE</w:instrText>
    </w:r>
    <w:r>
      <w:rPr>
        <w:b/>
      </w:rPr>
      <w:fldChar w:fldCharType="separate"/>
    </w:r>
    <w:r>
      <w:rPr>
        <w:b/>
      </w:rPr>
      <w:t>5</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10</w:t>
    </w:r>
    <w:r>
      <w:rPr>
        <w:b/>
      </w:rPr>
      <w:fldChar w:fldCharType="end"/>
    </w:r>
  </w:p>
  <w:p w14:paraId="700EF48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67EDD">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539A20D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BB118">
    <w:pPr>
      <w:ind w:right="400" w:firstLine="7103" w:firstLineChars="3550"/>
      <w:rPr>
        <w:rFonts w:ascii="微软雅黑" w:hAnsi="微软雅黑" w:eastAsia="微软雅黑" w:cs="Calibri"/>
        <w:b/>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D10FA"/>
    <w:multiLevelType w:val="singleLevel"/>
    <w:tmpl w:val="F58D10FA"/>
    <w:lvl w:ilvl="0" w:tentative="0">
      <w:start w:val="2"/>
      <w:numFmt w:val="decimal"/>
      <w:suff w:val="nothing"/>
      <w:lvlText w:val="%1、"/>
      <w:lvlJc w:val="left"/>
    </w:lvl>
  </w:abstractNum>
  <w:abstractNum w:abstractNumId="1">
    <w:nsid w:val="0000001B"/>
    <w:multiLevelType w:val="singleLevel"/>
    <w:tmpl w:val="0000001B"/>
    <w:lvl w:ilvl="0" w:tentative="0">
      <w:start w:val="1"/>
      <w:numFmt w:val="bullet"/>
      <w:pStyle w:val="25"/>
      <w:lvlText w:val=""/>
      <w:lvlJc w:val="left"/>
      <w:pPr>
        <w:tabs>
          <w:tab w:val="left" w:pos="994"/>
        </w:tabs>
        <w:ind w:left="994" w:hanging="994"/>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hODU1M2Q0MTlhZDMyZWU2NWE3ZjUzOGU0MWI3YjcifQ=="/>
  </w:docVars>
  <w:rsids>
    <w:rsidRoot w:val="00A547D4"/>
    <w:rsid w:val="00000F29"/>
    <w:rsid w:val="0000763A"/>
    <w:rsid w:val="00011D0F"/>
    <w:rsid w:val="000130EA"/>
    <w:rsid w:val="000146F0"/>
    <w:rsid w:val="00014EBE"/>
    <w:rsid w:val="00015C29"/>
    <w:rsid w:val="00016647"/>
    <w:rsid w:val="000171FE"/>
    <w:rsid w:val="000201C7"/>
    <w:rsid w:val="000202FE"/>
    <w:rsid w:val="0002032E"/>
    <w:rsid w:val="0002052E"/>
    <w:rsid w:val="00020986"/>
    <w:rsid w:val="00020FB5"/>
    <w:rsid w:val="0002206A"/>
    <w:rsid w:val="00022B1A"/>
    <w:rsid w:val="000250F7"/>
    <w:rsid w:val="0002538D"/>
    <w:rsid w:val="00025D38"/>
    <w:rsid w:val="00030348"/>
    <w:rsid w:val="00030BC9"/>
    <w:rsid w:val="0003249E"/>
    <w:rsid w:val="00035995"/>
    <w:rsid w:val="00035B11"/>
    <w:rsid w:val="00040387"/>
    <w:rsid w:val="00042347"/>
    <w:rsid w:val="00043DF3"/>
    <w:rsid w:val="000535D0"/>
    <w:rsid w:val="00055364"/>
    <w:rsid w:val="00055465"/>
    <w:rsid w:val="000572ED"/>
    <w:rsid w:val="00057EE4"/>
    <w:rsid w:val="00061F54"/>
    <w:rsid w:val="00062C8C"/>
    <w:rsid w:val="00062D9F"/>
    <w:rsid w:val="00062EC0"/>
    <w:rsid w:val="00063A17"/>
    <w:rsid w:val="00064C8D"/>
    <w:rsid w:val="00065778"/>
    <w:rsid w:val="000674DE"/>
    <w:rsid w:val="00071CD2"/>
    <w:rsid w:val="00072260"/>
    <w:rsid w:val="00075E41"/>
    <w:rsid w:val="000760DF"/>
    <w:rsid w:val="0007779D"/>
    <w:rsid w:val="000807C1"/>
    <w:rsid w:val="00084402"/>
    <w:rsid w:val="0008500F"/>
    <w:rsid w:val="00090133"/>
    <w:rsid w:val="0009069A"/>
    <w:rsid w:val="0009096E"/>
    <w:rsid w:val="00091E7E"/>
    <w:rsid w:val="0009344A"/>
    <w:rsid w:val="000934BD"/>
    <w:rsid w:val="00093EC7"/>
    <w:rsid w:val="0009700A"/>
    <w:rsid w:val="00097963"/>
    <w:rsid w:val="000A0665"/>
    <w:rsid w:val="000A11F4"/>
    <w:rsid w:val="000A1242"/>
    <w:rsid w:val="000A2DB6"/>
    <w:rsid w:val="000A3574"/>
    <w:rsid w:val="000A3696"/>
    <w:rsid w:val="000B04B7"/>
    <w:rsid w:val="000B056D"/>
    <w:rsid w:val="000B0C28"/>
    <w:rsid w:val="000B16FC"/>
    <w:rsid w:val="000B1DF4"/>
    <w:rsid w:val="000B408B"/>
    <w:rsid w:val="000B7D19"/>
    <w:rsid w:val="000C03C4"/>
    <w:rsid w:val="000C2372"/>
    <w:rsid w:val="000C24F4"/>
    <w:rsid w:val="000C5776"/>
    <w:rsid w:val="000C7F6E"/>
    <w:rsid w:val="000D18FC"/>
    <w:rsid w:val="000D4706"/>
    <w:rsid w:val="000E0BDB"/>
    <w:rsid w:val="000E0CBD"/>
    <w:rsid w:val="000E18EC"/>
    <w:rsid w:val="000E224F"/>
    <w:rsid w:val="000E261C"/>
    <w:rsid w:val="000E5E45"/>
    <w:rsid w:val="000E67F1"/>
    <w:rsid w:val="000E68B7"/>
    <w:rsid w:val="000E7B2A"/>
    <w:rsid w:val="000F01E3"/>
    <w:rsid w:val="000F1088"/>
    <w:rsid w:val="000F1C2D"/>
    <w:rsid w:val="000F1D55"/>
    <w:rsid w:val="000F370C"/>
    <w:rsid w:val="000F4EE0"/>
    <w:rsid w:val="00103007"/>
    <w:rsid w:val="00104513"/>
    <w:rsid w:val="00106CAE"/>
    <w:rsid w:val="001105EA"/>
    <w:rsid w:val="00112908"/>
    <w:rsid w:val="00114FA6"/>
    <w:rsid w:val="0011665B"/>
    <w:rsid w:val="00121627"/>
    <w:rsid w:val="00125155"/>
    <w:rsid w:val="001253D8"/>
    <w:rsid w:val="00132BF2"/>
    <w:rsid w:val="00133185"/>
    <w:rsid w:val="00133362"/>
    <w:rsid w:val="00133BAF"/>
    <w:rsid w:val="00134BC3"/>
    <w:rsid w:val="001354BE"/>
    <w:rsid w:val="001356D3"/>
    <w:rsid w:val="00136283"/>
    <w:rsid w:val="00140554"/>
    <w:rsid w:val="00143174"/>
    <w:rsid w:val="00143ED0"/>
    <w:rsid w:val="0014728D"/>
    <w:rsid w:val="0015074E"/>
    <w:rsid w:val="00150C91"/>
    <w:rsid w:val="001538F6"/>
    <w:rsid w:val="001545F4"/>
    <w:rsid w:val="00155E98"/>
    <w:rsid w:val="00156CA9"/>
    <w:rsid w:val="00157AAA"/>
    <w:rsid w:val="00161095"/>
    <w:rsid w:val="00165640"/>
    <w:rsid w:val="00165D1D"/>
    <w:rsid w:val="00170823"/>
    <w:rsid w:val="001708FF"/>
    <w:rsid w:val="001726DB"/>
    <w:rsid w:val="00172EBC"/>
    <w:rsid w:val="001741B0"/>
    <w:rsid w:val="001777B2"/>
    <w:rsid w:val="00184BC3"/>
    <w:rsid w:val="0018540A"/>
    <w:rsid w:val="00187643"/>
    <w:rsid w:val="0019197E"/>
    <w:rsid w:val="0019364A"/>
    <w:rsid w:val="0019394A"/>
    <w:rsid w:val="00195E36"/>
    <w:rsid w:val="00197068"/>
    <w:rsid w:val="001A01EB"/>
    <w:rsid w:val="001A0EAE"/>
    <w:rsid w:val="001A1793"/>
    <w:rsid w:val="001A1A69"/>
    <w:rsid w:val="001A21A1"/>
    <w:rsid w:val="001A53B3"/>
    <w:rsid w:val="001A54F2"/>
    <w:rsid w:val="001B1899"/>
    <w:rsid w:val="001B24DE"/>
    <w:rsid w:val="001B389A"/>
    <w:rsid w:val="001C0009"/>
    <w:rsid w:val="001C3430"/>
    <w:rsid w:val="001C667F"/>
    <w:rsid w:val="001D054E"/>
    <w:rsid w:val="001D0E5C"/>
    <w:rsid w:val="001D150C"/>
    <w:rsid w:val="001D1E70"/>
    <w:rsid w:val="001D4EFF"/>
    <w:rsid w:val="001D5846"/>
    <w:rsid w:val="001D6F63"/>
    <w:rsid w:val="001D76C1"/>
    <w:rsid w:val="001D7896"/>
    <w:rsid w:val="001E20E5"/>
    <w:rsid w:val="001E306C"/>
    <w:rsid w:val="001E3D42"/>
    <w:rsid w:val="001E458A"/>
    <w:rsid w:val="001E7977"/>
    <w:rsid w:val="001F1D2F"/>
    <w:rsid w:val="001F4C64"/>
    <w:rsid w:val="002025CD"/>
    <w:rsid w:val="002036F4"/>
    <w:rsid w:val="002049DB"/>
    <w:rsid w:val="002122FB"/>
    <w:rsid w:val="00212BD6"/>
    <w:rsid w:val="00215982"/>
    <w:rsid w:val="00216374"/>
    <w:rsid w:val="00217652"/>
    <w:rsid w:val="00220650"/>
    <w:rsid w:val="00221E33"/>
    <w:rsid w:val="00222322"/>
    <w:rsid w:val="002258D2"/>
    <w:rsid w:val="002264C8"/>
    <w:rsid w:val="00231182"/>
    <w:rsid w:val="002323B2"/>
    <w:rsid w:val="00232603"/>
    <w:rsid w:val="00233AE5"/>
    <w:rsid w:val="00234760"/>
    <w:rsid w:val="00234C9B"/>
    <w:rsid w:val="00243F9A"/>
    <w:rsid w:val="0024665F"/>
    <w:rsid w:val="00247F58"/>
    <w:rsid w:val="00252D42"/>
    <w:rsid w:val="00252E07"/>
    <w:rsid w:val="00252F5A"/>
    <w:rsid w:val="002544DF"/>
    <w:rsid w:val="00260746"/>
    <w:rsid w:val="00262BD8"/>
    <w:rsid w:val="002631C7"/>
    <w:rsid w:val="00263A95"/>
    <w:rsid w:val="002650E4"/>
    <w:rsid w:val="002663DE"/>
    <w:rsid w:val="00266BE0"/>
    <w:rsid w:val="002707C0"/>
    <w:rsid w:val="002732D5"/>
    <w:rsid w:val="00280A53"/>
    <w:rsid w:val="00281590"/>
    <w:rsid w:val="002824A9"/>
    <w:rsid w:val="00282FFE"/>
    <w:rsid w:val="00283498"/>
    <w:rsid w:val="00285E27"/>
    <w:rsid w:val="00286A11"/>
    <w:rsid w:val="00287D6E"/>
    <w:rsid w:val="002910EE"/>
    <w:rsid w:val="00291C8A"/>
    <w:rsid w:val="00292DDD"/>
    <w:rsid w:val="0029474F"/>
    <w:rsid w:val="0029607B"/>
    <w:rsid w:val="002A2404"/>
    <w:rsid w:val="002A3443"/>
    <w:rsid w:val="002A4607"/>
    <w:rsid w:val="002A475B"/>
    <w:rsid w:val="002A566C"/>
    <w:rsid w:val="002A6BB4"/>
    <w:rsid w:val="002A7D40"/>
    <w:rsid w:val="002B5FFF"/>
    <w:rsid w:val="002B6E5A"/>
    <w:rsid w:val="002C2FDF"/>
    <w:rsid w:val="002C32B5"/>
    <w:rsid w:val="002C3615"/>
    <w:rsid w:val="002C3DEB"/>
    <w:rsid w:val="002C494C"/>
    <w:rsid w:val="002C5BD2"/>
    <w:rsid w:val="002C61CE"/>
    <w:rsid w:val="002D0450"/>
    <w:rsid w:val="002D132C"/>
    <w:rsid w:val="002D148F"/>
    <w:rsid w:val="002D1C31"/>
    <w:rsid w:val="002D3129"/>
    <w:rsid w:val="002D3D63"/>
    <w:rsid w:val="002D4B2D"/>
    <w:rsid w:val="002D55A0"/>
    <w:rsid w:val="002D6D54"/>
    <w:rsid w:val="002D79F3"/>
    <w:rsid w:val="002E0943"/>
    <w:rsid w:val="002E1A57"/>
    <w:rsid w:val="002E3327"/>
    <w:rsid w:val="002E4D72"/>
    <w:rsid w:val="002E5773"/>
    <w:rsid w:val="002F02D0"/>
    <w:rsid w:val="002F0FD6"/>
    <w:rsid w:val="002F34AA"/>
    <w:rsid w:val="002F4488"/>
    <w:rsid w:val="002F58AA"/>
    <w:rsid w:val="003006C6"/>
    <w:rsid w:val="00302651"/>
    <w:rsid w:val="00303B7A"/>
    <w:rsid w:val="0030433A"/>
    <w:rsid w:val="00305027"/>
    <w:rsid w:val="003072DA"/>
    <w:rsid w:val="00307A26"/>
    <w:rsid w:val="0031056D"/>
    <w:rsid w:val="00312850"/>
    <w:rsid w:val="00315CD1"/>
    <w:rsid w:val="003176BC"/>
    <w:rsid w:val="00317EC3"/>
    <w:rsid w:val="0032218F"/>
    <w:rsid w:val="00322B68"/>
    <w:rsid w:val="003230B4"/>
    <w:rsid w:val="00325593"/>
    <w:rsid w:val="00325DE3"/>
    <w:rsid w:val="0032628E"/>
    <w:rsid w:val="003264D9"/>
    <w:rsid w:val="003277B8"/>
    <w:rsid w:val="00330129"/>
    <w:rsid w:val="00332CD3"/>
    <w:rsid w:val="003333B0"/>
    <w:rsid w:val="00334805"/>
    <w:rsid w:val="00334D8A"/>
    <w:rsid w:val="0034019C"/>
    <w:rsid w:val="00340C14"/>
    <w:rsid w:val="003411E2"/>
    <w:rsid w:val="00342CCA"/>
    <w:rsid w:val="003432D2"/>
    <w:rsid w:val="003437C1"/>
    <w:rsid w:val="00346C0D"/>
    <w:rsid w:val="00346FCA"/>
    <w:rsid w:val="00347D77"/>
    <w:rsid w:val="003513B3"/>
    <w:rsid w:val="003521D1"/>
    <w:rsid w:val="00352A04"/>
    <w:rsid w:val="003560DC"/>
    <w:rsid w:val="003565ED"/>
    <w:rsid w:val="00361910"/>
    <w:rsid w:val="003637F7"/>
    <w:rsid w:val="00364B55"/>
    <w:rsid w:val="00366697"/>
    <w:rsid w:val="0036674A"/>
    <w:rsid w:val="00372488"/>
    <w:rsid w:val="00372A26"/>
    <w:rsid w:val="003802D1"/>
    <w:rsid w:val="00380B58"/>
    <w:rsid w:val="0038252F"/>
    <w:rsid w:val="00384140"/>
    <w:rsid w:val="00384C88"/>
    <w:rsid w:val="00386F0B"/>
    <w:rsid w:val="00387DAD"/>
    <w:rsid w:val="00390CF9"/>
    <w:rsid w:val="003945E4"/>
    <w:rsid w:val="00396E9C"/>
    <w:rsid w:val="003979E9"/>
    <w:rsid w:val="003A01AC"/>
    <w:rsid w:val="003A0734"/>
    <w:rsid w:val="003A308D"/>
    <w:rsid w:val="003A378D"/>
    <w:rsid w:val="003A4E39"/>
    <w:rsid w:val="003A6374"/>
    <w:rsid w:val="003B2126"/>
    <w:rsid w:val="003B2196"/>
    <w:rsid w:val="003B4165"/>
    <w:rsid w:val="003B46A8"/>
    <w:rsid w:val="003B79D8"/>
    <w:rsid w:val="003C29F5"/>
    <w:rsid w:val="003C47DB"/>
    <w:rsid w:val="003C5B41"/>
    <w:rsid w:val="003C6C3A"/>
    <w:rsid w:val="003C7923"/>
    <w:rsid w:val="003D425D"/>
    <w:rsid w:val="003D4B79"/>
    <w:rsid w:val="003D7283"/>
    <w:rsid w:val="003D7955"/>
    <w:rsid w:val="003E1A37"/>
    <w:rsid w:val="003E4BAC"/>
    <w:rsid w:val="003E6FFF"/>
    <w:rsid w:val="003F0FD7"/>
    <w:rsid w:val="003F13E8"/>
    <w:rsid w:val="003F4053"/>
    <w:rsid w:val="003F4080"/>
    <w:rsid w:val="003F533A"/>
    <w:rsid w:val="003F5E13"/>
    <w:rsid w:val="003F6B5E"/>
    <w:rsid w:val="00400CCE"/>
    <w:rsid w:val="004016E7"/>
    <w:rsid w:val="0040195C"/>
    <w:rsid w:val="00401F8B"/>
    <w:rsid w:val="0040347C"/>
    <w:rsid w:val="00404226"/>
    <w:rsid w:val="00405612"/>
    <w:rsid w:val="00405F4F"/>
    <w:rsid w:val="00407B26"/>
    <w:rsid w:val="0041023E"/>
    <w:rsid w:val="00410694"/>
    <w:rsid w:val="00412A43"/>
    <w:rsid w:val="0041331F"/>
    <w:rsid w:val="0041335E"/>
    <w:rsid w:val="00413C47"/>
    <w:rsid w:val="00414A5F"/>
    <w:rsid w:val="00415D5C"/>
    <w:rsid w:val="00416E3F"/>
    <w:rsid w:val="004207ED"/>
    <w:rsid w:val="00420807"/>
    <w:rsid w:val="00423592"/>
    <w:rsid w:val="00423CEF"/>
    <w:rsid w:val="00425C62"/>
    <w:rsid w:val="00425DEF"/>
    <w:rsid w:val="0042712F"/>
    <w:rsid w:val="00431169"/>
    <w:rsid w:val="00433788"/>
    <w:rsid w:val="00435986"/>
    <w:rsid w:val="00437551"/>
    <w:rsid w:val="00437F43"/>
    <w:rsid w:val="004409A0"/>
    <w:rsid w:val="00440D7E"/>
    <w:rsid w:val="00441086"/>
    <w:rsid w:val="00445FEB"/>
    <w:rsid w:val="0045153B"/>
    <w:rsid w:val="00451D60"/>
    <w:rsid w:val="0045441A"/>
    <w:rsid w:val="0045455C"/>
    <w:rsid w:val="00463A5E"/>
    <w:rsid w:val="004640E6"/>
    <w:rsid w:val="00464783"/>
    <w:rsid w:val="00465C36"/>
    <w:rsid w:val="0046791C"/>
    <w:rsid w:val="0047703A"/>
    <w:rsid w:val="0047740B"/>
    <w:rsid w:val="00477C29"/>
    <w:rsid w:val="004807C4"/>
    <w:rsid w:val="00480943"/>
    <w:rsid w:val="00481A79"/>
    <w:rsid w:val="00485C3C"/>
    <w:rsid w:val="00485D6A"/>
    <w:rsid w:val="00486D26"/>
    <w:rsid w:val="00486DE8"/>
    <w:rsid w:val="00490568"/>
    <w:rsid w:val="00491EDB"/>
    <w:rsid w:val="00492A3D"/>
    <w:rsid w:val="00496182"/>
    <w:rsid w:val="00497CDE"/>
    <w:rsid w:val="004A15BB"/>
    <w:rsid w:val="004A506C"/>
    <w:rsid w:val="004B12C7"/>
    <w:rsid w:val="004B2847"/>
    <w:rsid w:val="004B2D19"/>
    <w:rsid w:val="004B44CC"/>
    <w:rsid w:val="004B45A8"/>
    <w:rsid w:val="004B7369"/>
    <w:rsid w:val="004C0AEC"/>
    <w:rsid w:val="004C0DBD"/>
    <w:rsid w:val="004C0F8F"/>
    <w:rsid w:val="004C2BBF"/>
    <w:rsid w:val="004C4B60"/>
    <w:rsid w:val="004C6C69"/>
    <w:rsid w:val="004D0835"/>
    <w:rsid w:val="004D3054"/>
    <w:rsid w:val="004D6354"/>
    <w:rsid w:val="004E23E6"/>
    <w:rsid w:val="004E2434"/>
    <w:rsid w:val="004E4903"/>
    <w:rsid w:val="004E7CAF"/>
    <w:rsid w:val="004E7DF0"/>
    <w:rsid w:val="004F3E37"/>
    <w:rsid w:val="004F5A26"/>
    <w:rsid w:val="004F6246"/>
    <w:rsid w:val="004F74FF"/>
    <w:rsid w:val="004F7A3C"/>
    <w:rsid w:val="00500CDB"/>
    <w:rsid w:val="0050192F"/>
    <w:rsid w:val="005029A6"/>
    <w:rsid w:val="005031A3"/>
    <w:rsid w:val="005032EC"/>
    <w:rsid w:val="00503C6C"/>
    <w:rsid w:val="00505268"/>
    <w:rsid w:val="00505C45"/>
    <w:rsid w:val="00506DF5"/>
    <w:rsid w:val="00506E63"/>
    <w:rsid w:val="0050705F"/>
    <w:rsid w:val="00511493"/>
    <w:rsid w:val="005131DA"/>
    <w:rsid w:val="00513C5C"/>
    <w:rsid w:val="00515BCB"/>
    <w:rsid w:val="00520A16"/>
    <w:rsid w:val="00522670"/>
    <w:rsid w:val="005272C8"/>
    <w:rsid w:val="005316F1"/>
    <w:rsid w:val="005320F3"/>
    <w:rsid w:val="0053210A"/>
    <w:rsid w:val="0053388A"/>
    <w:rsid w:val="00534CAC"/>
    <w:rsid w:val="00536318"/>
    <w:rsid w:val="005367A9"/>
    <w:rsid w:val="00536E49"/>
    <w:rsid w:val="00537142"/>
    <w:rsid w:val="00537AEB"/>
    <w:rsid w:val="005401FC"/>
    <w:rsid w:val="005412F4"/>
    <w:rsid w:val="00541A10"/>
    <w:rsid w:val="00542114"/>
    <w:rsid w:val="00543DB7"/>
    <w:rsid w:val="00544279"/>
    <w:rsid w:val="00545D76"/>
    <w:rsid w:val="00547EDC"/>
    <w:rsid w:val="00550DE6"/>
    <w:rsid w:val="00552768"/>
    <w:rsid w:val="005545A5"/>
    <w:rsid w:val="005559CE"/>
    <w:rsid w:val="00557310"/>
    <w:rsid w:val="0055774C"/>
    <w:rsid w:val="005578C0"/>
    <w:rsid w:val="00561C0B"/>
    <w:rsid w:val="00565B7F"/>
    <w:rsid w:val="005660B4"/>
    <w:rsid w:val="00570D7E"/>
    <w:rsid w:val="0057434F"/>
    <w:rsid w:val="00575165"/>
    <w:rsid w:val="00575F83"/>
    <w:rsid w:val="0057616F"/>
    <w:rsid w:val="00576878"/>
    <w:rsid w:val="00576DED"/>
    <w:rsid w:val="005775D2"/>
    <w:rsid w:val="00582A43"/>
    <w:rsid w:val="00582E24"/>
    <w:rsid w:val="005849CA"/>
    <w:rsid w:val="005853BD"/>
    <w:rsid w:val="00585F5C"/>
    <w:rsid w:val="005864B7"/>
    <w:rsid w:val="00591E5B"/>
    <w:rsid w:val="005950A9"/>
    <w:rsid w:val="005955E9"/>
    <w:rsid w:val="00596053"/>
    <w:rsid w:val="005968EC"/>
    <w:rsid w:val="005A09F5"/>
    <w:rsid w:val="005A0EC2"/>
    <w:rsid w:val="005A1DEA"/>
    <w:rsid w:val="005A40C2"/>
    <w:rsid w:val="005B00C6"/>
    <w:rsid w:val="005B1CEF"/>
    <w:rsid w:val="005B252D"/>
    <w:rsid w:val="005B2666"/>
    <w:rsid w:val="005B2D05"/>
    <w:rsid w:val="005B3508"/>
    <w:rsid w:val="005B39AE"/>
    <w:rsid w:val="005B47A9"/>
    <w:rsid w:val="005B487A"/>
    <w:rsid w:val="005B5025"/>
    <w:rsid w:val="005B51D5"/>
    <w:rsid w:val="005B5665"/>
    <w:rsid w:val="005B5F48"/>
    <w:rsid w:val="005B63D3"/>
    <w:rsid w:val="005C1D45"/>
    <w:rsid w:val="005C3606"/>
    <w:rsid w:val="005C6128"/>
    <w:rsid w:val="005C6791"/>
    <w:rsid w:val="005C7520"/>
    <w:rsid w:val="005D0B57"/>
    <w:rsid w:val="005D142F"/>
    <w:rsid w:val="005D18FE"/>
    <w:rsid w:val="005D28BD"/>
    <w:rsid w:val="005D3FFC"/>
    <w:rsid w:val="005E009B"/>
    <w:rsid w:val="005E22CF"/>
    <w:rsid w:val="005E5F8F"/>
    <w:rsid w:val="005E6E0A"/>
    <w:rsid w:val="005E71E7"/>
    <w:rsid w:val="005F04FD"/>
    <w:rsid w:val="005F069B"/>
    <w:rsid w:val="005F1C4C"/>
    <w:rsid w:val="005F46C6"/>
    <w:rsid w:val="005F5DDA"/>
    <w:rsid w:val="005F6169"/>
    <w:rsid w:val="005F6661"/>
    <w:rsid w:val="005F6759"/>
    <w:rsid w:val="005F7E4D"/>
    <w:rsid w:val="00602B99"/>
    <w:rsid w:val="00604AF3"/>
    <w:rsid w:val="00605865"/>
    <w:rsid w:val="00611FDB"/>
    <w:rsid w:val="0061792A"/>
    <w:rsid w:val="00620208"/>
    <w:rsid w:val="0062048E"/>
    <w:rsid w:val="006207E6"/>
    <w:rsid w:val="00620E48"/>
    <w:rsid w:val="00622F77"/>
    <w:rsid w:val="0062338A"/>
    <w:rsid w:val="006234FC"/>
    <w:rsid w:val="00623B6B"/>
    <w:rsid w:val="00626AA9"/>
    <w:rsid w:val="00632DAA"/>
    <w:rsid w:val="00637E2D"/>
    <w:rsid w:val="006425BD"/>
    <w:rsid w:val="00642894"/>
    <w:rsid w:val="0064467E"/>
    <w:rsid w:val="00645EFF"/>
    <w:rsid w:val="0064619C"/>
    <w:rsid w:val="006508EA"/>
    <w:rsid w:val="0065378D"/>
    <w:rsid w:val="00655E8A"/>
    <w:rsid w:val="006574B1"/>
    <w:rsid w:val="0066230C"/>
    <w:rsid w:val="006635F6"/>
    <w:rsid w:val="00663E3F"/>
    <w:rsid w:val="00664321"/>
    <w:rsid w:val="006644DF"/>
    <w:rsid w:val="00664C56"/>
    <w:rsid w:val="006652DA"/>
    <w:rsid w:val="00671899"/>
    <w:rsid w:val="00671900"/>
    <w:rsid w:val="00671AA2"/>
    <w:rsid w:val="00672FDD"/>
    <w:rsid w:val="0067585D"/>
    <w:rsid w:val="0067759D"/>
    <w:rsid w:val="006802FA"/>
    <w:rsid w:val="0068315E"/>
    <w:rsid w:val="00683DC1"/>
    <w:rsid w:val="00684430"/>
    <w:rsid w:val="006859CC"/>
    <w:rsid w:val="00686B10"/>
    <w:rsid w:val="00687C76"/>
    <w:rsid w:val="0069196C"/>
    <w:rsid w:val="00691A41"/>
    <w:rsid w:val="00692486"/>
    <w:rsid w:val="0069593B"/>
    <w:rsid w:val="00696C83"/>
    <w:rsid w:val="006A1CF0"/>
    <w:rsid w:val="006A34C5"/>
    <w:rsid w:val="006A5733"/>
    <w:rsid w:val="006A58DE"/>
    <w:rsid w:val="006A78AF"/>
    <w:rsid w:val="006B0798"/>
    <w:rsid w:val="006B1576"/>
    <w:rsid w:val="006B355C"/>
    <w:rsid w:val="006B38F8"/>
    <w:rsid w:val="006B652D"/>
    <w:rsid w:val="006B731C"/>
    <w:rsid w:val="006C097D"/>
    <w:rsid w:val="006C1BD4"/>
    <w:rsid w:val="006D015E"/>
    <w:rsid w:val="006D04E8"/>
    <w:rsid w:val="006D0E65"/>
    <w:rsid w:val="006D239F"/>
    <w:rsid w:val="006D3AA5"/>
    <w:rsid w:val="006D3E91"/>
    <w:rsid w:val="006D532F"/>
    <w:rsid w:val="006D559A"/>
    <w:rsid w:val="006D77D1"/>
    <w:rsid w:val="006E4A3F"/>
    <w:rsid w:val="006E6F64"/>
    <w:rsid w:val="006F1692"/>
    <w:rsid w:val="006F1FCD"/>
    <w:rsid w:val="006F2DFF"/>
    <w:rsid w:val="006F42D5"/>
    <w:rsid w:val="006F7133"/>
    <w:rsid w:val="006F758B"/>
    <w:rsid w:val="006F79A1"/>
    <w:rsid w:val="0070003F"/>
    <w:rsid w:val="00701343"/>
    <w:rsid w:val="007027E9"/>
    <w:rsid w:val="00702908"/>
    <w:rsid w:val="0070478E"/>
    <w:rsid w:val="00705571"/>
    <w:rsid w:val="00710706"/>
    <w:rsid w:val="007109D9"/>
    <w:rsid w:val="00712E2F"/>
    <w:rsid w:val="007164AB"/>
    <w:rsid w:val="007179DD"/>
    <w:rsid w:val="00720D4B"/>
    <w:rsid w:val="00722BDE"/>
    <w:rsid w:val="0072592C"/>
    <w:rsid w:val="00725B1F"/>
    <w:rsid w:val="00726914"/>
    <w:rsid w:val="0073227A"/>
    <w:rsid w:val="0073698E"/>
    <w:rsid w:val="00737B2F"/>
    <w:rsid w:val="0074413F"/>
    <w:rsid w:val="00744D6C"/>
    <w:rsid w:val="00745129"/>
    <w:rsid w:val="00745395"/>
    <w:rsid w:val="00746FB3"/>
    <w:rsid w:val="007478D1"/>
    <w:rsid w:val="00751E5A"/>
    <w:rsid w:val="007530DC"/>
    <w:rsid w:val="0075362D"/>
    <w:rsid w:val="007549C5"/>
    <w:rsid w:val="00755971"/>
    <w:rsid w:val="0076117F"/>
    <w:rsid w:val="00763352"/>
    <w:rsid w:val="00770019"/>
    <w:rsid w:val="00770033"/>
    <w:rsid w:val="00770B67"/>
    <w:rsid w:val="007727FD"/>
    <w:rsid w:val="00772DFD"/>
    <w:rsid w:val="00773735"/>
    <w:rsid w:val="00773CA9"/>
    <w:rsid w:val="00773CCF"/>
    <w:rsid w:val="0077537D"/>
    <w:rsid w:val="007758AB"/>
    <w:rsid w:val="00777954"/>
    <w:rsid w:val="00777F76"/>
    <w:rsid w:val="0078500C"/>
    <w:rsid w:val="0078606D"/>
    <w:rsid w:val="00786D7C"/>
    <w:rsid w:val="00790964"/>
    <w:rsid w:val="00791E4E"/>
    <w:rsid w:val="00791F01"/>
    <w:rsid w:val="007A0151"/>
    <w:rsid w:val="007A445F"/>
    <w:rsid w:val="007A49F8"/>
    <w:rsid w:val="007A4B7D"/>
    <w:rsid w:val="007A5BA1"/>
    <w:rsid w:val="007A6D78"/>
    <w:rsid w:val="007A7601"/>
    <w:rsid w:val="007B01DF"/>
    <w:rsid w:val="007B0EB9"/>
    <w:rsid w:val="007B1679"/>
    <w:rsid w:val="007B19E0"/>
    <w:rsid w:val="007B204A"/>
    <w:rsid w:val="007B5715"/>
    <w:rsid w:val="007C1F11"/>
    <w:rsid w:val="007C232D"/>
    <w:rsid w:val="007C4505"/>
    <w:rsid w:val="007C5B32"/>
    <w:rsid w:val="007C752A"/>
    <w:rsid w:val="007D02D7"/>
    <w:rsid w:val="007D0394"/>
    <w:rsid w:val="007D19FC"/>
    <w:rsid w:val="007D1A07"/>
    <w:rsid w:val="007D31B8"/>
    <w:rsid w:val="007D4C5F"/>
    <w:rsid w:val="007D53ED"/>
    <w:rsid w:val="007D676A"/>
    <w:rsid w:val="007E4279"/>
    <w:rsid w:val="007E4B4B"/>
    <w:rsid w:val="007F073D"/>
    <w:rsid w:val="007F0751"/>
    <w:rsid w:val="007F25E2"/>
    <w:rsid w:val="007F31C7"/>
    <w:rsid w:val="007F7CCC"/>
    <w:rsid w:val="00801B02"/>
    <w:rsid w:val="008036AB"/>
    <w:rsid w:val="0080378E"/>
    <w:rsid w:val="0080542F"/>
    <w:rsid w:val="00806007"/>
    <w:rsid w:val="008079A5"/>
    <w:rsid w:val="00812020"/>
    <w:rsid w:val="00812870"/>
    <w:rsid w:val="00812935"/>
    <w:rsid w:val="00813FBF"/>
    <w:rsid w:val="00814D0D"/>
    <w:rsid w:val="00814EBC"/>
    <w:rsid w:val="0081531A"/>
    <w:rsid w:val="00815F5B"/>
    <w:rsid w:val="00820216"/>
    <w:rsid w:val="00822BBF"/>
    <w:rsid w:val="00824608"/>
    <w:rsid w:val="00826AB8"/>
    <w:rsid w:val="00827991"/>
    <w:rsid w:val="00830140"/>
    <w:rsid w:val="008339A1"/>
    <w:rsid w:val="00834072"/>
    <w:rsid w:val="00834663"/>
    <w:rsid w:val="00834BC6"/>
    <w:rsid w:val="00835351"/>
    <w:rsid w:val="00840EB8"/>
    <w:rsid w:val="00842702"/>
    <w:rsid w:val="00843C9E"/>
    <w:rsid w:val="0084446A"/>
    <w:rsid w:val="00844B45"/>
    <w:rsid w:val="008450FD"/>
    <w:rsid w:val="00845CCD"/>
    <w:rsid w:val="008474B3"/>
    <w:rsid w:val="00847714"/>
    <w:rsid w:val="00851D0A"/>
    <w:rsid w:val="008534A6"/>
    <w:rsid w:val="00855622"/>
    <w:rsid w:val="0085650F"/>
    <w:rsid w:val="0086144F"/>
    <w:rsid w:val="00863AA6"/>
    <w:rsid w:val="0086611B"/>
    <w:rsid w:val="008663AD"/>
    <w:rsid w:val="0086660B"/>
    <w:rsid w:val="0087036E"/>
    <w:rsid w:val="008704E3"/>
    <w:rsid w:val="00871E48"/>
    <w:rsid w:val="00872EAF"/>
    <w:rsid w:val="008730FD"/>
    <w:rsid w:val="0087340B"/>
    <w:rsid w:val="00873D39"/>
    <w:rsid w:val="00875415"/>
    <w:rsid w:val="00880CCB"/>
    <w:rsid w:val="00881DA6"/>
    <w:rsid w:val="0088357B"/>
    <w:rsid w:val="008849BB"/>
    <w:rsid w:val="00884FBC"/>
    <w:rsid w:val="0088542A"/>
    <w:rsid w:val="00886C78"/>
    <w:rsid w:val="0088704C"/>
    <w:rsid w:val="00894F49"/>
    <w:rsid w:val="00895641"/>
    <w:rsid w:val="008958C3"/>
    <w:rsid w:val="00895E82"/>
    <w:rsid w:val="008966DC"/>
    <w:rsid w:val="0089686A"/>
    <w:rsid w:val="00897BA8"/>
    <w:rsid w:val="008A142D"/>
    <w:rsid w:val="008A23F2"/>
    <w:rsid w:val="008A3928"/>
    <w:rsid w:val="008A5302"/>
    <w:rsid w:val="008A5BFC"/>
    <w:rsid w:val="008A78BB"/>
    <w:rsid w:val="008B14DC"/>
    <w:rsid w:val="008B21A6"/>
    <w:rsid w:val="008B23BA"/>
    <w:rsid w:val="008B2B02"/>
    <w:rsid w:val="008B2FEB"/>
    <w:rsid w:val="008B467B"/>
    <w:rsid w:val="008B497A"/>
    <w:rsid w:val="008B5478"/>
    <w:rsid w:val="008B58B3"/>
    <w:rsid w:val="008B5A48"/>
    <w:rsid w:val="008B612A"/>
    <w:rsid w:val="008B6F6C"/>
    <w:rsid w:val="008C0A9A"/>
    <w:rsid w:val="008C0B5C"/>
    <w:rsid w:val="008C1076"/>
    <w:rsid w:val="008C10BE"/>
    <w:rsid w:val="008C1126"/>
    <w:rsid w:val="008C1873"/>
    <w:rsid w:val="008C22FE"/>
    <w:rsid w:val="008C41FE"/>
    <w:rsid w:val="008C5CA4"/>
    <w:rsid w:val="008C7EAA"/>
    <w:rsid w:val="008D0BA5"/>
    <w:rsid w:val="008D30D5"/>
    <w:rsid w:val="008D3831"/>
    <w:rsid w:val="008D4A9F"/>
    <w:rsid w:val="008D5F00"/>
    <w:rsid w:val="008D6CED"/>
    <w:rsid w:val="008D756B"/>
    <w:rsid w:val="008D7B63"/>
    <w:rsid w:val="008E10B8"/>
    <w:rsid w:val="008E1376"/>
    <w:rsid w:val="008E16CB"/>
    <w:rsid w:val="008E43EC"/>
    <w:rsid w:val="008E60E9"/>
    <w:rsid w:val="008E65B1"/>
    <w:rsid w:val="008F02A1"/>
    <w:rsid w:val="008F153B"/>
    <w:rsid w:val="008F3216"/>
    <w:rsid w:val="008F5F46"/>
    <w:rsid w:val="00902567"/>
    <w:rsid w:val="00902CF5"/>
    <w:rsid w:val="00903BDF"/>
    <w:rsid w:val="00904A1E"/>
    <w:rsid w:val="009063E9"/>
    <w:rsid w:val="0091231E"/>
    <w:rsid w:val="00913074"/>
    <w:rsid w:val="00914EC3"/>
    <w:rsid w:val="0091539E"/>
    <w:rsid w:val="00915C77"/>
    <w:rsid w:val="00915DE9"/>
    <w:rsid w:val="00916CED"/>
    <w:rsid w:val="00917119"/>
    <w:rsid w:val="00922285"/>
    <w:rsid w:val="00922F07"/>
    <w:rsid w:val="00923493"/>
    <w:rsid w:val="00924553"/>
    <w:rsid w:val="0092528C"/>
    <w:rsid w:val="00925A30"/>
    <w:rsid w:val="00925ECF"/>
    <w:rsid w:val="00926D54"/>
    <w:rsid w:val="00930DE6"/>
    <w:rsid w:val="0093199C"/>
    <w:rsid w:val="00931F34"/>
    <w:rsid w:val="0093342E"/>
    <w:rsid w:val="00935416"/>
    <w:rsid w:val="00936E7D"/>
    <w:rsid w:val="00940938"/>
    <w:rsid w:val="009409B8"/>
    <w:rsid w:val="00942E94"/>
    <w:rsid w:val="009439BA"/>
    <w:rsid w:val="00944D38"/>
    <w:rsid w:val="00945807"/>
    <w:rsid w:val="009506D4"/>
    <w:rsid w:val="00953926"/>
    <w:rsid w:val="00956602"/>
    <w:rsid w:val="009576EB"/>
    <w:rsid w:val="0095775E"/>
    <w:rsid w:val="00957A3E"/>
    <w:rsid w:val="00962509"/>
    <w:rsid w:val="00962A14"/>
    <w:rsid w:val="00962B1F"/>
    <w:rsid w:val="00962FCF"/>
    <w:rsid w:val="00963642"/>
    <w:rsid w:val="00965B07"/>
    <w:rsid w:val="0097011B"/>
    <w:rsid w:val="00971A02"/>
    <w:rsid w:val="00973162"/>
    <w:rsid w:val="00975C7F"/>
    <w:rsid w:val="00976635"/>
    <w:rsid w:val="0097682F"/>
    <w:rsid w:val="00977F9A"/>
    <w:rsid w:val="009801FF"/>
    <w:rsid w:val="009820D3"/>
    <w:rsid w:val="00982D42"/>
    <w:rsid w:val="00984761"/>
    <w:rsid w:val="00984D6E"/>
    <w:rsid w:val="00984E4C"/>
    <w:rsid w:val="00991F78"/>
    <w:rsid w:val="009A27E5"/>
    <w:rsid w:val="009A56A6"/>
    <w:rsid w:val="009A7154"/>
    <w:rsid w:val="009B48D0"/>
    <w:rsid w:val="009C0DE1"/>
    <w:rsid w:val="009C1F2D"/>
    <w:rsid w:val="009C29A5"/>
    <w:rsid w:val="009C60C5"/>
    <w:rsid w:val="009C63A7"/>
    <w:rsid w:val="009C647B"/>
    <w:rsid w:val="009D0C79"/>
    <w:rsid w:val="009D0D1A"/>
    <w:rsid w:val="009D1E33"/>
    <w:rsid w:val="009D3FAF"/>
    <w:rsid w:val="009D4719"/>
    <w:rsid w:val="009D6D46"/>
    <w:rsid w:val="009E287E"/>
    <w:rsid w:val="009E36DA"/>
    <w:rsid w:val="009E6D2D"/>
    <w:rsid w:val="009F03C9"/>
    <w:rsid w:val="009F18FC"/>
    <w:rsid w:val="009F1CDB"/>
    <w:rsid w:val="009F39D3"/>
    <w:rsid w:val="009F3FB6"/>
    <w:rsid w:val="009F535A"/>
    <w:rsid w:val="009F5428"/>
    <w:rsid w:val="009F5AC8"/>
    <w:rsid w:val="009F77A0"/>
    <w:rsid w:val="00A01190"/>
    <w:rsid w:val="00A02035"/>
    <w:rsid w:val="00A027AC"/>
    <w:rsid w:val="00A036C4"/>
    <w:rsid w:val="00A04736"/>
    <w:rsid w:val="00A06479"/>
    <w:rsid w:val="00A06D85"/>
    <w:rsid w:val="00A07946"/>
    <w:rsid w:val="00A100E0"/>
    <w:rsid w:val="00A11AA3"/>
    <w:rsid w:val="00A22079"/>
    <w:rsid w:val="00A22D39"/>
    <w:rsid w:val="00A25E1B"/>
    <w:rsid w:val="00A306EC"/>
    <w:rsid w:val="00A312DF"/>
    <w:rsid w:val="00A31FE5"/>
    <w:rsid w:val="00A3320E"/>
    <w:rsid w:val="00A356A4"/>
    <w:rsid w:val="00A36EDC"/>
    <w:rsid w:val="00A37A65"/>
    <w:rsid w:val="00A41980"/>
    <w:rsid w:val="00A442E5"/>
    <w:rsid w:val="00A461FB"/>
    <w:rsid w:val="00A478BC"/>
    <w:rsid w:val="00A52FAD"/>
    <w:rsid w:val="00A547D4"/>
    <w:rsid w:val="00A54E02"/>
    <w:rsid w:val="00A56125"/>
    <w:rsid w:val="00A57258"/>
    <w:rsid w:val="00A606F2"/>
    <w:rsid w:val="00A63B51"/>
    <w:rsid w:val="00A650F5"/>
    <w:rsid w:val="00A67956"/>
    <w:rsid w:val="00A707A3"/>
    <w:rsid w:val="00A70C77"/>
    <w:rsid w:val="00A72A72"/>
    <w:rsid w:val="00A7357B"/>
    <w:rsid w:val="00A8097F"/>
    <w:rsid w:val="00A80B85"/>
    <w:rsid w:val="00A8193F"/>
    <w:rsid w:val="00A81EBE"/>
    <w:rsid w:val="00A82453"/>
    <w:rsid w:val="00A827E6"/>
    <w:rsid w:val="00A85229"/>
    <w:rsid w:val="00A85FC5"/>
    <w:rsid w:val="00A905A8"/>
    <w:rsid w:val="00A9185D"/>
    <w:rsid w:val="00A919E6"/>
    <w:rsid w:val="00A91D1E"/>
    <w:rsid w:val="00AA2358"/>
    <w:rsid w:val="00AA23E5"/>
    <w:rsid w:val="00AA24E5"/>
    <w:rsid w:val="00AA271A"/>
    <w:rsid w:val="00AA5BC2"/>
    <w:rsid w:val="00AA6E57"/>
    <w:rsid w:val="00AA7811"/>
    <w:rsid w:val="00AB0368"/>
    <w:rsid w:val="00AB0942"/>
    <w:rsid w:val="00AB0AB5"/>
    <w:rsid w:val="00AB16A8"/>
    <w:rsid w:val="00AB2175"/>
    <w:rsid w:val="00AB28B7"/>
    <w:rsid w:val="00AB3F74"/>
    <w:rsid w:val="00AB4089"/>
    <w:rsid w:val="00AB4782"/>
    <w:rsid w:val="00AB5419"/>
    <w:rsid w:val="00AB71A3"/>
    <w:rsid w:val="00AB759A"/>
    <w:rsid w:val="00AC0E04"/>
    <w:rsid w:val="00AC0F75"/>
    <w:rsid w:val="00AC4FF6"/>
    <w:rsid w:val="00AC6B98"/>
    <w:rsid w:val="00AC70AA"/>
    <w:rsid w:val="00AD0D2D"/>
    <w:rsid w:val="00AD1C15"/>
    <w:rsid w:val="00AD1F40"/>
    <w:rsid w:val="00AD2724"/>
    <w:rsid w:val="00AD7248"/>
    <w:rsid w:val="00AE00B3"/>
    <w:rsid w:val="00AE1AC4"/>
    <w:rsid w:val="00AE2247"/>
    <w:rsid w:val="00AE261A"/>
    <w:rsid w:val="00AE323B"/>
    <w:rsid w:val="00AE3E16"/>
    <w:rsid w:val="00AE71C2"/>
    <w:rsid w:val="00AE7B25"/>
    <w:rsid w:val="00AF0228"/>
    <w:rsid w:val="00AF21D6"/>
    <w:rsid w:val="00AF2AB3"/>
    <w:rsid w:val="00AF3A90"/>
    <w:rsid w:val="00B01218"/>
    <w:rsid w:val="00B01876"/>
    <w:rsid w:val="00B0210A"/>
    <w:rsid w:val="00B0411C"/>
    <w:rsid w:val="00B05746"/>
    <w:rsid w:val="00B0577F"/>
    <w:rsid w:val="00B11E8C"/>
    <w:rsid w:val="00B2034D"/>
    <w:rsid w:val="00B208F4"/>
    <w:rsid w:val="00B2131F"/>
    <w:rsid w:val="00B22A12"/>
    <w:rsid w:val="00B22F3D"/>
    <w:rsid w:val="00B23BC9"/>
    <w:rsid w:val="00B23CFE"/>
    <w:rsid w:val="00B26DC4"/>
    <w:rsid w:val="00B27CD4"/>
    <w:rsid w:val="00B301EA"/>
    <w:rsid w:val="00B30FD2"/>
    <w:rsid w:val="00B315C8"/>
    <w:rsid w:val="00B31A9E"/>
    <w:rsid w:val="00B3248A"/>
    <w:rsid w:val="00B333BA"/>
    <w:rsid w:val="00B33C1F"/>
    <w:rsid w:val="00B34046"/>
    <w:rsid w:val="00B3490C"/>
    <w:rsid w:val="00B37CB9"/>
    <w:rsid w:val="00B42629"/>
    <w:rsid w:val="00B43652"/>
    <w:rsid w:val="00B4775B"/>
    <w:rsid w:val="00B51431"/>
    <w:rsid w:val="00B5419D"/>
    <w:rsid w:val="00B54951"/>
    <w:rsid w:val="00B61E0E"/>
    <w:rsid w:val="00B621D9"/>
    <w:rsid w:val="00B63ED7"/>
    <w:rsid w:val="00B65270"/>
    <w:rsid w:val="00B670CB"/>
    <w:rsid w:val="00B70681"/>
    <w:rsid w:val="00B707E7"/>
    <w:rsid w:val="00B70BDE"/>
    <w:rsid w:val="00B70FEC"/>
    <w:rsid w:val="00B74286"/>
    <w:rsid w:val="00B75DB7"/>
    <w:rsid w:val="00B76F66"/>
    <w:rsid w:val="00B77EC7"/>
    <w:rsid w:val="00B800F2"/>
    <w:rsid w:val="00B8043C"/>
    <w:rsid w:val="00B8185A"/>
    <w:rsid w:val="00B82698"/>
    <w:rsid w:val="00B82A23"/>
    <w:rsid w:val="00B8411A"/>
    <w:rsid w:val="00B842E3"/>
    <w:rsid w:val="00B84895"/>
    <w:rsid w:val="00B874D4"/>
    <w:rsid w:val="00B91169"/>
    <w:rsid w:val="00B91B72"/>
    <w:rsid w:val="00B92E10"/>
    <w:rsid w:val="00B93698"/>
    <w:rsid w:val="00B95825"/>
    <w:rsid w:val="00B95ACF"/>
    <w:rsid w:val="00B97275"/>
    <w:rsid w:val="00B9732B"/>
    <w:rsid w:val="00B97F4C"/>
    <w:rsid w:val="00BA1E00"/>
    <w:rsid w:val="00BA260B"/>
    <w:rsid w:val="00BA29CE"/>
    <w:rsid w:val="00BA4828"/>
    <w:rsid w:val="00BA5338"/>
    <w:rsid w:val="00BB0F80"/>
    <w:rsid w:val="00BB4F16"/>
    <w:rsid w:val="00BB6480"/>
    <w:rsid w:val="00BB7728"/>
    <w:rsid w:val="00BB7F86"/>
    <w:rsid w:val="00BC0117"/>
    <w:rsid w:val="00BC0C8C"/>
    <w:rsid w:val="00BC19AD"/>
    <w:rsid w:val="00BC3A35"/>
    <w:rsid w:val="00BC4A69"/>
    <w:rsid w:val="00BC4C0E"/>
    <w:rsid w:val="00BC61C5"/>
    <w:rsid w:val="00BC7CE4"/>
    <w:rsid w:val="00BD03CE"/>
    <w:rsid w:val="00BD1322"/>
    <w:rsid w:val="00BD31A7"/>
    <w:rsid w:val="00BD3214"/>
    <w:rsid w:val="00BD3667"/>
    <w:rsid w:val="00BD38E8"/>
    <w:rsid w:val="00BD3D89"/>
    <w:rsid w:val="00BD4CDC"/>
    <w:rsid w:val="00BD4D02"/>
    <w:rsid w:val="00BD54EA"/>
    <w:rsid w:val="00BD7DDB"/>
    <w:rsid w:val="00BE1EC9"/>
    <w:rsid w:val="00BE3E4D"/>
    <w:rsid w:val="00BE6C48"/>
    <w:rsid w:val="00BF00A0"/>
    <w:rsid w:val="00BF19F6"/>
    <w:rsid w:val="00BF2B7C"/>
    <w:rsid w:val="00BF4A13"/>
    <w:rsid w:val="00BF4D98"/>
    <w:rsid w:val="00BF78A3"/>
    <w:rsid w:val="00C00210"/>
    <w:rsid w:val="00C00F2E"/>
    <w:rsid w:val="00C0170A"/>
    <w:rsid w:val="00C02003"/>
    <w:rsid w:val="00C02AD2"/>
    <w:rsid w:val="00C02E8B"/>
    <w:rsid w:val="00C06183"/>
    <w:rsid w:val="00C13C30"/>
    <w:rsid w:val="00C14CCB"/>
    <w:rsid w:val="00C14D4D"/>
    <w:rsid w:val="00C150B2"/>
    <w:rsid w:val="00C15348"/>
    <w:rsid w:val="00C16925"/>
    <w:rsid w:val="00C177A8"/>
    <w:rsid w:val="00C178E8"/>
    <w:rsid w:val="00C200A0"/>
    <w:rsid w:val="00C239E9"/>
    <w:rsid w:val="00C24755"/>
    <w:rsid w:val="00C25743"/>
    <w:rsid w:val="00C303EF"/>
    <w:rsid w:val="00C30D35"/>
    <w:rsid w:val="00C32893"/>
    <w:rsid w:val="00C32AA0"/>
    <w:rsid w:val="00C3448C"/>
    <w:rsid w:val="00C36885"/>
    <w:rsid w:val="00C41151"/>
    <w:rsid w:val="00C418A4"/>
    <w:rsid w:val="00C4321E"/>
    <w:rsid w:val="00C43D86"/>
    <w:rsid w:val="00C44B76"/>
    <w:rsid w:val="00C45BC7"/>
    <w:rsid w:val="00C470E4"/>
    <w:rsid w:val="00C5189E"/>
    <w:rsid w:val="00C5228D"/>
    <w:rsid w:val="00C52B14"/>
    <w:rsid w:val="00C5611D"/>
    <w:rsid w:val="00C56909"/>
    <w:rsid w:val="00C57603"/>
    <w:rsid w:val="00C63A45"/>
    <w:rsid w:val="00C644DD"/>
    <w:rsid w:val="00C67D20"/>
    <w:rsid w:val="00C7001C"/>
    <w:rsid w:val="00C70131"/>
    <w:rsid w:val="00C72124"/>
    <w:rsid w:val="00C72ABF"/>
    <w:rsid w:val="00C72F6A"/>
    <w:rsid w:val="00C73F58"/>
    <w:rsid w:val="00C74E0C"/>
    <w:rsid w:val="00C76E9F"/>
    <w:rsid w:val="00C776EB"/>
    <w:rsid w:val="00C81E53"/>
    <w:rsid w:val="00C82143"/>
    <w:rsid w:val="00C8550D"/>
    <w:rsid w:val="00C855F4"/>
    <w:rsid w:val="00C87A33"/>
    <w:rsid w:val="00C9212F"/>
    <w:rsid w:val="00C9310C"/>
    <w:rsid w:val="00C95237"/>
    <w:rsid w:val="00C96359"/>
    <w:rsid w:val="00CA004B"/>
    <w:rsid w:val="00CA0A94"/>
    <w:rsid w:val="00CA0D80"/>
    <w:rsid w:val="00CA0E9D"/>
    <w:rsid w:val="00CA13A2"/>
    <w:rsid w:val="00CA1F70"/>
    <w:rsid w:val="00CA3199"/>
    <w:rsid w:val="00CA6284"/>
    <w:rsid w:val="00CB2BEC"/>
    <w:rsid w:val="00CB31FD"/>
    <w:rsid w:val="00CB40F2"/>
    <w:rsid w:val="00CB551C"/>
    <w:rsid w:val="00CB78F3"/>
    <w:rsid w:val="00CC3E62"/>
    <w:rsid w:val="00CC7971"/>
    <w:rsid w:val="00CD064A"/>
    <w:rsid w:val="00CD2E2A"/>
    <w:rsid w:val="00CD34F9"/>
    <w:rsid w:val="00CD38D5"/>
    <w:rsid w:val="00CD4C1C"/>
    <w:rsid w:val="00CD6501"/>
    <w:rsid w:val="00CE05CC"/>
    <w:rsid w:val="00CE1CCE"/>
    <w:rsid w:val="00CE2100"/>
    <w:rsid w:val="00CE45B5"/>
    <w:rsid w:val="00CF0C18"/>
    <w:rsid w:val="00CF13F6"/>
    <w:rsid w:val="00CF19DB"/>
    <w:rsid w:val="00CF4BF4"/>
    <w:rsid w:val="00CF4DD6"/>
    <w:rsid w:val="00CF666E"/>
    <w:rsid w:val="00D010E4"/>
    <w:rsid w:val="00D02BF3"/>
    <w:rsid w:val="00D05093"/>
    <w:rsid w:val="00D0538E"/>
    <w:rsid w:val="00D07907"/>
    <w:rsid w:val="00D103C0"/>
    <w:rsid w:val="00D123CD"/>
    <w:rsid w:val="00D126B0"/>
    <w:rsid w:val="00D128D6"/>
    <w:rsid w:val="00D155A3"/>
    <w:rsid w:val="00D1567B"/>
    <w:rsid w:val="00D178FD"/>
    <w:rsid w:val="00D21AD4"/>
    <w:rsid w:val="00D2688A"/>
    <w:rsid w:val="00D26AB0"/>
    <w:rsid w:val="00D31BA2"/>
    <w:rsid w:val="00D31E83"/>
    <w:rsid w:val="00D33805"/>
    <w:rsid w:val="00D36824"/>
    <w:rsid w:val="00D36B1A"/>
    <w:rsid w:val="00D37B99"/>
    <w:rsid w:val="00D40160"/>
    <w:rsid w:val="00D429C8"/>
    <w:rsid w:val="00D42B03"/>
    <w:rsid w:val="00D455E1"/>
    <w:rsid w:val="00D465D8"/>
    <w:rsid w:val="00D5096D"/>
    <w:rsid w:val="00D52C54"/>
    <w:rsid w:val="00D535E5"/>
    <w:rsid w:val="00D542A0"/>
    <w:rsid w:val="00D579B6"/>
    <w:rsid w:val="00D60092"/>
    <w:rsid w:val="00D647E3"/>
    <w:rsid w:val="00D65DAD"/>
    <w:rsid w:val="00D66CA6"/>
    <w:rsid w:val="00D70233"/>
    <w:rsid w:val="00D71E5E"/>
    <w:rsid w:val="00D75C39"/>
    <w:rsid w:val="00D805D5"/>
    <w:rsid w:val="00D80B01"/>
    <w:rsid w:val="00D80FED"/>
    <w:rsid w:val="00D8101E"/>
    <w:rsid w:val="00D81819"/>
    <w:rsid w:val="00D82FA8"/>
    <w:rsid w:val="00D83791"/>
    <w:rsid w:val="00D8410E"/>
    <w:rsid w:val="00D8490C"/>
    <w:rsid w:val="00D853CB"/>
    <w:rsid w:val="00D85DCC"/>
    <w:rsid w:val="00D86674"/>
    <w:rsid w:val="00D91297"/>
    <w:rsid w:val="00D92B5D"/>
    <w:rsid w:val="00D955C7"/>
    <w:rsid w:val="00D965E9"/>
    <w:rsid w:val="00D96D39"/>
    <w:rsid w:val="00DA1AA5"/>
    <w:rsid w:val="00DA2380"/>
    <w:rsid w:val="00DA3C0E"/>
    <w:rsid w:val="00DA47BC"/>
    <w:rsid w:val="00DA590A"/>
    <w:rsid w:val="00DA5E06"/>
    <w:rsid w:val="00DB0720"/>
    <w:rsid w:val="00DB1CA8"/>
    <w:rsid w:val="00DB42A5"/>
    <w:rsid w:val="00DB46F8"/>
    <w:rsid w:val="00DB4F0E"/>
    <w:rsid w:val="00DB57F6"/>
    <w:rsid w:val="00DB7C7D"/>
    <w:rsid w:val="00DC19DC"/>
    <w:rsid w:val="00DC229C"/>
    <w:rsid w:val="00DC2E44"/>
    <w:rsid w:val="00DC6D17"/>
    <w:rsid w:val="00DC71DA"/>
    <w:rsid w:val="00DD1329"/>
    <w:rsid w:val="00DD1583"/>
    <w:rsid w:val="00DD18B5"/>
    <w:rsid w:val="00DD1967"/>
    <w:rsid w:val="00DD6916"/>
    <w:rsid w:val="00DD7056"/>
    <w:rsid w:val="00DD78E8"/>
    <w:rsid w:val="00DD7C77"/>
    <w:rsid w:val="00DE0344"/>
    <w:rsid w:val="00DE1EB1"/>
    <w:rsid w:val="00DE2E38"/>
    <w:rsid w:val="00DE39B9"/>
    <w:rsid w:val="00DE3AC7"/>
    <w:rsid w:val="00DE4619"/>
    <w:rsid w:val="00DE46D5"/>
    <w:rsid w:val="00DE5A21"/>
    <w:rsid w:val="00DE6FEB"/>
    <w:rsid w:val="00DE769B"/>
    <w:rsid w:val="00DE7963"/>
    <w:rsid w:val="00DE7ABD"/>
    <w:rsid w:val="00DF214D"/>
    <w:rsid w:val="00DF4730"/>
    <w:rsid w:val="00DF5170"/>
    <w:rsid w:val="00E013A1"/>
    <w:rsid w:val="00E01530"/>
    <w:rsid w:val="00E01D24"/>
    <w:rsid w:val="00E01D91"/>
    <w:rsid w:val="00E03642"/>
    <w:rsid w:val="00E03CE4"/>
    <w:rsid w:val="00E05AC0"/>
    <w:rsid w:val="00E0638F"/>
    <w:rsid w:val="00E14114"/>
    <w:rsid w:val="00E16A1C"/>
    <w:rsid w:val="00E1715A"/>
    <w:rsid w:val="00E204C8"/>
    <w:rsid w:val="00E20DAD"/>
    <w:rsid w:val="00E22341"/>
    <w:rsid w:val="00E22ECD"/>
    <w:rsid w:val="00E23394"/>
    <w:rsid w:val="00E251FE"/>
    <w:rsid w:val="00E267BB"/>
    <w:rsid w:val="00E26F3E"/>
    <w:rsid w:val="00E2724D"/>
    <w:rsid w:val="00E272BF"/>
    <w:rsid w:val="00E2749D"/>
    <w:rsid w:val="00E30659"/>
    <w:rsid w:val="00E30CC7"/>
    <w:rsid w:val="00E3155B"/>
    <w:rsid w:val="00E31AF9"/>
    <w:rsid w:val="00E343E2"/>
    <w:rsid w:val="00E346A7"/>
    <w:rsid w:val="00E359FD"/>
    <w:rsid w:val="00E40E5F"/>
    <w:rsid w:val="00E441F9"/>
    <w:rsid w:val="00E446FC"/>
    <w:rsid w:val="00E45D40"/>
    <w:rsid w:val="00E46FF5"/>
    <w:rsid w:val="00E47D26"/>
    <w:rsid w:val="00E519C8"/>
    <w:rsid w:val="00E53A5E"/>
    <w:rsid w:val="00E570C9"/>
    <w:rsid w:val="00E579E8"/>
    <w:rsid w:val="00E6155F"/>
    <w:rsid w:val="00E6176D"/>
    <w:rsid w:val="00E64056"/>
    <w:rsid w:val="00E6423D"/>
    <w:rsid w:val="00E64823"/>
    <w:rsid w:val="00E64A91"/>
    <w:rsid w:val="00E64B82"/>
    <w:rsid w:val="00E664DA"/>
    <w:rsid w:val="00E66990"/>
    <w:rsid w:val="00E70A85"/>
    <w:rsid w:val="00E732F0"/>
    <w:rsid w:val="00E73364"/>
    <w:rsid w:val="00E74E5F"/>
    <w:rsid w:val="00E754EC"/>
    <w:rsid w:val="00E76436"/>
    <w:rsid w:val="00E774B9"/>
    <w:rsid w:val="00E831BC"/>
    <w:rsid w:val="00E85AAF"/>
    <w:rsid w:val="00E939E0"/>
    <w:rsid w:val="00E942B1"/>
    <w:rsid w:val="00E94A67"/>
    <w:rsid w:val="00E94DA0"/>
    <w:rsid w:val="00EA2C4C"/>
    <w:rsid w:val="00EA3132"/>
    <w:rsid w:val="00EA3B1F"/>
    <w:rsid w:val="00EA46CD"/>
    <w:rsid w:val="00EA4B85"/>
    <w:rsid w:val="00EA4D22"/>
    <w:rsid w:val="00EA51F5"/>
    <w:rsid w:val="00EA5235"/>
    <w:rsid w:val="00EA7DEA"/>
    <w:rsid w:val="00EB07F3"/>
    <w:rsid w:val="00EB1D5A"/>
    <w:rsid w:val="00EB41C4"/>
    <w:rsid w:val="00EB6278"/>
    <w:rsid w:val="00EB70BA"/>
    <w:rsid w:val="00EC24CB"/>
    <w:rsid w:val="00EC468E"/>
    <w:rsid w:val="00EC4B24"/>
    <w:rsid w:val="00EC4BB7"/>
    <w:rsid w:val="00ED025F"/>
    <w:rsid w:val="00ED1646"/>
    <w:rsid w:val="00ED1CDD"/>
    <w:rsid w:val="00ED4265"/>
    <w:rsid w:val="00ED5783"/>
    <w:rsid w:val="00ED6E4F"/>
    <w:rsid w:val="00ED74B8"/>
    <w:rsid w:val="00ED7F22"/>
    <w:rsid w:val="00EE0D25"/>
    <w:rsid w:val="00EE1A20"/>
    <w:rsid w:val="00EE225F"/>
    <w:rsid w:val="00EE23A2"/>
    <w:rsid w:val="00EE4DBE"/>
    <w:rsid w:val="00EE713E"/>
    <w:rsid w:val="00EF15DC"/>
    <w:rsid w:val="00EF1F52"/>
    <w:rsid w:val="00EF2395"/>
    <w:rsid w:val="00EF2A58"/>
    <w:rsid w:val="00EF312D"/>
    <w:rsid w:val="00EF62EA"/>
    <w:rsid w:val="00EF78A6"/>
    <w:rsid w:val="00F01673"/>
    <w:rsid w:val="00F03C48"/>
    <w:rsid w:val="00F05A9C"/>
    <w:rsid w:val="00F062C5"/>
    <w:rsid w:val="00F13F2E"/>
    <w:rsid w:val="00F15188"/>
    <w:rsid w:val="00F153BA"/>
    <w:rsid w:val="00F1729E"/>
    <w:rsid w:val="00F17767"/>
    <w:rsid w:val="00F17943"/>
    <w:rsid w:val="00F17C98"/>
    <w:rsid w:val="00F205CC"/>
    <w:rsid w:val="00F23873"/>
    <w:rsid w:val="00F243CF"/>
    <w:rsid w:val="00F270F3"/>
    <w:rsid w:val="00F27CD6"/>
    <w:rsid w:val="00F30223"/>
    <w:rsid w:val="00F311A1"/>
    <w:rsid w:val="00F3182F"/>
    <w:rsid w:val="00F3274E"/>
    <w:rsid w:val="00F33DFD"/>
    <w:rsid w:val="00F35574"/>
    <w:rsid w:val="00F402BD"/>
    <w:rsid w:val="00F46B34"/>
    <w:rsid w:val="00F51BB9"/>
    <w:rsid w:val="00F54557"/>
    <w:rsid w:val="00F548E0"/>
    <w:rsid w:val="00F550E3"/>
    <w:rsid w:val="00F565D1"/>
    <w:rsid w:val="00F572C9"/>
    <w:rsid w:val="00F57B5C"/>
    <w:rsid w:val="00F657C3"/>
    <w:rsid w:val="00F662CA"/>
    <w:rsid w:val="00F67027"/>
    <w:rsid w:val="00F67A3C"/>
    <w:rsid w:val="00F71F99"/>
    <w:rsid w:val="00F72C6C"/>
    <w:rsid w:val="00F756AE"/>
    <w:rsid w:val="00F83598"/>
    <w:rsid w:val="00F84550"/>
    <w:rsid w:val="00F845B2"/>
    <w:rsid w:val="00F84A0B"/>
    <w:rsid w:val="00F8508F"/>
    <w:rsid w:val="00F85EB9"/>
    <w:rsid w:val="00F870FA"/>
    <w:rsid w:val="00F9002A"/>
    <w:rsid w:val="00F91519"/>
    <w:rsid w:val="00F925F3"/>
    <w:rsid w:val="00F92B72"/>
    <w:rsid w:val="00FA0E1F"/>
    <w:rsid w:val="00FA6B95"/>
    <w:rsid w:val="00FA745F"/>
    <w:rsid w:val="00FB1B95"/>
    <w:rsid w:val="00FB2067"/>
    <w:rsid w:val="00FB25D8"/>
    <w:rsid w:val="00FB33FE"/>
    <w:rsid w:val="00FB3AE6"/>
    <w:rsid w:val="00FB3C95"/>
    <w:rsid w:val="00FB4561"/>
    <w:rsid w:val="00FB60AC"/>
    <w:rsid w:val="00FB7501"/>
    <w:rsid w:val="00FB7F7E"/>
    <w:rsid w:val="00FC132F"/>
    <w:rsid w:val="00FC246D"/>
    <w:rsid w:val="00FC34CC"/>
    <w:rsid w:val="00FC64A6"/>
    <w:rsid w:val="00FC6B75"/>
    <w:rsid w:val="00FC6BF3"/>
    <w:rsid w:val="00FC7D59"/>
    <w:rsid w:val="00FD0D16"/>
    <w:rsid w:val="00FD4B4D"/>
    <w:rsid w:val="00FD51D7"/>
    <w:rsid w:val="00FD7FB5"/>
    <w:rsid w:val="00FE26F3"/>
    <w:rsid w:val="00FE37B3"/>
    <w:rsid w:val="00FE4338"/>
    <w:rsid w:val="00FE6B64"/>
    <w:rsid w:val="00FE773A"/>
    <w:rsid w:val="00FE7ABC"/>
    <w:rsid w:val="00FF32A9"/>
    <w:rsid w:val="00FF411E"/>
    <w:rsid w:val="00FF67A8"/>
    <w:rsid w:val="02576E0B"/>
    <w:rsid w:val="061B5279"/>
    <w:rsid w:val="0863280B"/>
    <w:rsid w:val="0ECF6B68"/>
    <w:rsid w:val="0F135FAC"/>
    <w:rsid w:val="16843CDB"/>
    <w:rsid w:val="16EC05C9"/>
    <w:rsid w:val="2624318A"/>
    <w:rsid w:val="361130FB"/>
    <w:rsid w:val="3B9A6722"/>
    <w:rsid w:val="3C950F0C"/>
    <w:rsid w:val="3CF4651B"/>
    <w:rsid w:val="400559E8"/>
    <w:rsid w:val="41075B5D"/>
    <w:rsid w:val="413F1A58"/>
    <w:rsid w:val="423F1C14"/>
    <w:rsid w:val="5C52016F"/>
    <w:rsid w:val="5EE11A3E"/>
    <w:rsid w:val="60ED603E"/>
    <w:rsid w:val="634D362A"/>
    <w:rsid w:val="67CB165D"/>
    <w:rsid w:val="703416A2"/>
    <w:rsid w:val="710D46D2"/>
    <w:rsid w:val="720A653A"/>
    <w:rsid w:val="73377F45"/>
    <w:rsid w:val="74067FCE"/>
    <w:rsid w:val="7B244E63"/>
    <w:rsid w:val="BB7F4482"/>
    <w:rsid w:val="BC7C6F99"/>
    <w:rsid w:val="C7AFF1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qFormat/>
    <w:uiPriority w:val="99"/>
    <w:pPr>
      <w:jc w:val="left"/>
    </w:pPr>
    <w:rPr>
      <w:kern w:val="0"/>
      <w:sz w:val="24"/>
    </w:rPr>
  </w:style>
  <w:style w:type="paragraph" w:styleId="3">
    <w:name w:val="Plain Text"/>
    <w:basedOn w:val="1"/>
    <w:link w:val="24"/>
    <w:qFormat/>
    <w:uiPriority w:val="99"/>
    <w:rPr>
      <w:rFonts w:ascii="宋体" w:hAnsi="Courier New"/>
      <w:kern w:val="0"/>
      <w:szCs w:val="20"/>
    </w:rPr>
  </w:style>
  <w:style w:type="paragraph" w:styleId="4">
    <w:name w:val="Balloon Text"/>
    <w:basedOn w:val="1"/>
    <w:link w:val="17"/>
    <w:semiHidden/>
    <w:qFormat/>
    <w:uiPriority w:val="99"/>
    <w:rPr>
      <w:kern w:val="0"/>
      <w:sz w:val="18"/>
      <w:szCs w:val="18"/>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2"/>
    <w:next w:val="2"/>
    <w:link w:val="15"/>
    <w:semiHidden/>
    <w:qFormat/>
    <w:uiPriority w:val="99"/>
    <w:rPr>
      <w:b/>
      <w:bCs/>
    </w:rPr>
  </w:style>
  <w:style w:type="table" w:styleId="9">
    <w:name w:val="Table Grid"/>
    <w:basedOn w:val="8"/>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rPr>
      <w:rFonts w:cs="Times New Roman"/>
    </w:rPr>
  </w:style>
  <w:style w:type="character" w:styleId="12">
    <w:name w:val="Hyperlink"/>
    <w:basedOn w:val="10"/>
    <w:qFormat/>
    <w:locked/>
    <w:uiPriority w:val="99"/>
    <w:rPr>
      <w:rFonts w:cs="Times New Roman"/>
      <w:color w:val="0000FF"/>
      <w:u w:val="single"/>
    </w:rPr>
  </w:style>
  <w:style w:type="character" w:styleId="13">
    <w:name w:val="annotation reference"/>
    <w:basedOn w:val="10"/>
    <w:semiHidden/>
    <w:qFormat/>
    <w:uiPriority w:val="99"/>
    <w:rPr>
      <w:rFonts w:cs="Times New Roman"/>
      <w:sz w:val="21"/>
    </w:rPr>
  </w:style>
  <w:style w:type="character" w:customStyle="1" w:styleId="14">
    <w:name w:val="批注文字 字符"/>
    <w:basedOn w:val="10"/>
    <w:link w:val="2"/>
    <w:semiHidden/>
    <w:qFormat/>
    <w:locked/>
    <w:uiPriority w:val="99"/>
    <w:rPr>
      <w:rFonts w:ascii="Times New Roman" w:hAnsi="Times New Roman" w:eastAsia="宋体" w:cs="Times New Roman"/>
      <w:sz w:val="24"/>
    </w:rPr>
  </w:style>
  <w:style w:type="character" w:customStyle="1" w:styleId="15">
    <w:name w:val="批注主题 字符"/>
    <w:basedOn w:val="14"/>
    <w:link w:val="7"/>
    <w:semiHidden/>
    <w:qFormat/>
    <w:locked/>
    <w:uiPriority w:val="99"/>
    <w:rPr>
      <w:rFonts w:ascii="Times New Roman" w:hAnsi="Times New Roman" w:eastAsia="宋体" w:cs="Times New Roman"/>
      <w:b/>
      <w:sz w:val="24"/>
    </w:rPr>
  </w:style>
  <w:style w:type="character" w:customStyle="1" w:styleId="16">
    <w:name w:val="Plain Text Char"/>
    <w:basedOn w:val="10"/>
    <w:qFormat/>
    <w:locked/>
    <w:uiPriority w:val="99"/>
    <w:rPr>
      <w:rFonts w:ascii="宋体" w:hAnsi="Courier New" w:cs="Times New Roman"/>
      <w:sz w:val="21"/>
    </w:rPr>
  </w:style>
  <w:style w:type="character" w:customStyle="1" w:styleId="17">
    <w:name w:val="批注框文本 字符"/>
    <w:basedOn w:val="10"/>
    <w:link w:val="4"/>
    <w:semiHidden/>
    <w:qFormat/>
    <w:locked/>
    <w:uiPriority w:val="99"/>
    <w:rPr>
      <w:rFonts w:ascii="Times New Roman" w:hAnsi="Times New Roman" w:eastAsia="宋体" w:cs="Times New Roman"/>
      <w:sz w:val="18"/>
    </w:rPr>
  </w:style>
  <w:style w:type="character" w:customStyle="1" w:styleId="18">
    <w:name w:val="页脚 字符"/>
    <w:basedOn w:val="10"/>
    <w:link w:val="5"/>
    <w:qFormat/>
    <w:locked/>
    <w:uiPriority w:val="99"/>
    <w:rPr>
      <w:rFonts w:ascii="Times New Roman" w:hAnsi="Times New Roman" w:eastAsia="宋体" w:cs="Times New Roman"/>
      <w:sz w:val="18"/>
    </w:rPr>
  </w:style>
  <w:style w:type="character" w:customStyle="1" w:styleId="19">
    <w:name w:val="页眉 字符"/>
    <w:basedOn w:val="10"/>
    <w:link w:val="6"/>
    <w:qFormat/>
    <w:locked/>
    <w:uiPriority w:val="99"/>
    <w:rPr>
      <w:rFonts w:ascii="Times New Roman" w:hAnsi="Times New Roman" w:eastAsia="宋体" w:cs="Times New Roman"/>
      <w:sz w:val="18"/>
    </w:rPr>
  </w:style>
  <w:style w:type="paragraph" w:customStyle="1" w:styleId="20">
    <w:name w:val="No Spacing1"/>
    <w:link w:val="21"/>
    <w:qFormat/>
    <w:uiPriority w:val="99"/>
    <w:rPr>
      <w:rFonts w:ascii="Calibri" w:hAnsi="Calibri" w:eastAsia="宋体" w:cs="Times New Roman"/>
      <w:sz w:val="22"/>
      <w:lang w:val="en-US" w:eastAsia="zh-CN" w:bidi="ar-SA"/>
    </w:rPr>
  </w:style>
  <w:style w:type="character" w:customStyle="1" w:styleId="21">
    <w:name w:val="No Spacing Char"/>
    <w:link w:val="20"/>
    <w:qFormat/>
    <w:locked/>
    <w:uiPriority w:val="99"/>
    <w:rPr>
      <w:sz w:val="22"/>
      <w:lang w:val="en-US" w:eastAsia="zh-CN" w:bidi="ar-SA"/>
    </w:rPr>
  </w:style>
  <w:style w:type="paragraph" w:customStyle="1" w:styleId="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Plain Text Char1"/>
    <w:semiHidden/>
    <w:qFormat/>
    <w:locked/>
    <w:uiPriority w:val="99"/>
    <w:rPr>
      <w:rFonts w:ascii="宋体" w:hAnsi="Courier New"/>
      <w:sz w:val="21"/>
    </w:rPr>
  </w:style>
  <w:style w:type="character" w:customStyle="1" w:styleId="24">
    <w:name w:val="纯文本 字符"/>
    <w:link w:val="3"/>
    <w:semiHidden/>
    <w:qFormat/>
    <w:locked/>
    <w:uiPriority w:val="99"/>
    <w:rPr>
      <w:rFonts w:ascii="宋体" w:hAnsi="Courier New" w:eastAsia="宋体"/>
      <w:sz w:val="21"/>
    </w:rPr>
  </w:style>
  <w:style w:type="paragraph" w:customStyle="1" w:styleId="25">
    <w:name w:val="A-List Bullet"/>
    <w:qFormat/>
    <w:uiPriority w:val="99"/>
    <w:pPr>
      <w:numPr>
        <w:ilvl w:val="0"/>
        <w:numId w:val="1"/>
      </w:numPr>
      <w:spacing w:after="240" w:line="280" w:lineRule="atLeast"/>
    </w:pPr>
    <w:rPr>
      <w:rFonts w:ascii="Times New Roman" w:hAnsi="Times New Roman" w:eastAsia="宋体" w:cs="Times New Roman"/>
      <w:sz w:val="24"/>
      <w:lang w:val="en-GB" w:eastAsia="en-US" w:bidi="ar-SA"/>
    </w:rPr>
  </w:style>
  <w:style w:type="character" w:customStyle="1" w:styleId="26">
    <w:name w:val="Char Char2"/>
    <w:semiHidden/>
    <w:qFormat/>
    <w:uiPriority w:val="99"/>
    <w:rPr>
      <w:lang w:val="en-US" w:eastAsia="en-US"/>
    </w:rPr>
  </w:style>
  <w:style w:type="paragraph" w:styleId="27">
    <w:name w:val="List Paragraph"/>
    <w:basedOn w:val="1"/>
    <w:unhideWhenUsed/>
    <w:qFormat/>
    <w:uiPriority w:val="34"/>
    <w:pPr>
      <w:ind w:firstLine="420" w:firstLineChars="200"/>
    </w:pPr>
  </w:style>
  <w:style w:type="paragraph" w:customStyle="1" w:styleId="2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DABB4-04E7-4F49-8378-8E87AAF233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6931</Words>
  <Characters>7071</Characters>
  <Lines>73</Lines>
  <Paragraphs>20</Paragraphs>
  <TotalTime>172</TotalTime>
  <ScaleCrop>false</ScaleCrop>
  <LinksUpToDate>false</LinksUpToDate>
  <CharactersWithSpaces>8057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2024-05-24T02:31:00Z</dcterms:created>
  <dc:creator>helin</dc:creator>
  <cp:lastModifiedBy>张楠</cp:lastModifiedBy>
  <cp:lastPrinted>2020-05-29T22:53:00Z</cp:lastPrinted>
  <dcterms:modified xsi:type="dcterms:W3CDTF">2025-06-10T07:35:38Z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31222414D2524930B6E800CD88B05B78_13</vt:lpwstr>
  </property>
  <property fmtid="{D5CDD505-2E9C-101B-9397-08002B2CF9AE}" pid="4" name="KSOTemplateDocerSaveRecord">
    <vt:lpwstr>eyJoZGlkIjoiMDJkNDc2NTQyZWE3MWM1OTc5NGI3OWMzNzIwYTBiYzciLCJ1c2VySWQiOiI2MjMzMDExODMifQ==</vt:lpwstr>
  </property>
</Properties>
</file>